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8E216" w14:textId="12123B1D" w:rsidR="002D3BA6" w:rsidRDefault="00913611" w:rsidP="002D3BA6">
      <w:pPr>
        <w:pStyle w:val="Title"/>
      </w:pPr>
      <w:bookmarkStart w:id="0" w:name="_Toc96326909"/>
      <w:bookmarkStart w:id="1" w:name="_GoBack"/>
      <w:bookmarkEnd w:id="1"/>
      <w:r>
        <w:t>Family and unpaid work</w:t>
      </w:r>
    </w:p>
    <w:p w14:paraId="3EC6362A" w14:textId="1C086A13" w:rsidR="002D3BA6" w:rsidRDefault="001563EE" w:rsidP="002D3BA6">
      <w:pPr>
        <w:pStyle w:val="Subtitle"/>
      </w:pPr>
      <w:r>
        <w:t>Phase One consultation: National Strategy to Achieve Gender Equality</w:t>
      </w:r>
    </w:p>
    <w:p w14:paraId="06F15550" w14:textId="0A2C373A" w:rsidR="00467470" w:rsidRDefault="00467470" w:rsidP="00467470">
      <w:pPr>
        <w:pStyle w:val="Heading1"/>
      </w:pPr>
      <w:r w:rsidRPr="00467470">
        <w:t>Introduction</w:t>
      </w:r>
    </w:p>
    <w:p w14:paraId="40EB74DE" w14:textId="77777777" w:rsidR="00265614" w:rsidRPr="00265614" w:rsidRDefault="00265614" w:rsidP="00265614">
      <w:pPr>
        <w:rPr>
          <w:rFonts w:eastAsia="Times New Roman"/>
          <w:lang w:eastAsia="en-AU"/>
        </w:rPr>
      </w:pPr>
      <w:r w:rsidRPr="00265614">
        <w:rPr>
          <w:rFonts w:eastAsia="Times New Roman"/>
          <w:lang w:eastAsia="en-AU"/>
        </w:rPr>
        <w:t>Gender equality is at the heart of the Australian Government’s vision for a better future, and the Government is committed to restoring Australia’s leadership on gender equality. </w:t>
      </w:r>
    </w:p>
    <w:p w14:paraId="23EF2DBC" w14:textId="77777777" w:rsidR="00265614" w:rsidRPr="00265614" w:rsidRDefault="00265614" w:rsidP="00265614">
      <w:pPr>
        <w:rPr>
          <w:rFonts w:eastAsia="Times New Roman"/>
          <w:lang w:eastAsia="en-AU"/>
        </w:rPr>
      </w:pPr>
      <w:r w:rsidRPr="00265614">
        <w:rPr>
          <w:rFonts w:eastAsia="Times New Roman"/>
          <w:lang w:eastAsia="en-AU"/>
        </w:rPr>
        <w:t>The Government will develop a National Strategy to Achieve Gender Equality (the Strategy) to drive this ambition.</w:t>
      </w:r>
    </w:p>
    <w:p w14:paraId="29BA4AE8" w14:textId="77777777" w:rsidR="00265614" w:rsidRPr="00265614" w:rsidRDefault="00265614" w:rsidP="00265614">
      <w:pPr>
        <w:keepNext/>
        <w:keepLines/>
        <w:spacing w:before="240" w:line="240" w:lineRule="auto"/>
        <w:outlineLvl w:val="1"/>
        <w:rPr>
          <w:rFonts w:asciiTheme="majorHAnsi" w:eastAsia="Times New Roman" w:hAnsiTheme="majorHAnsi" w:cstheme="majorBidi"/>
          <w:color w:val="1B375C" w:themeColor="accent1"/>
          <w:sz w:val="32"/>
          <w:szCs w:val="28"/>
          <w:lang w:eastAsia="en-AU"/>
        </w:rPr>
      </w:pPr>
      <w:r w:rsidRPr="00265614">
        <w:rPr>
          <w:rFonts w:asciiTheme="majorHAnsi" w:eastAsia="Times New Roman" w:hAnsiTheme="majorHAnsi" w:cstheme="majorBidi"/>
          <w:color w:val="1B375C" w:themeColor="accent1"/>
          <w:sz w:val="32"/>
          <w:szCs w:val="28"/>
          <w:lang w:eastAsia="en-AU"/>
        </w:rPr>
        <w:t>What will the Strategy do?</w:t>
      </w:r>
    </w:p>
    <w:p w14:paraId="6AD8764D" w14:textId="77777777" w:rsidR="00265614" w:rsidRPr="00265614" w:rsidRDefault="00265614" w:rsidP="00265614">
      <w:pPr>
        <w:rPr>
          <w:rFonts w:eastAsia="Times New Roman" w:cstheme="minorHAnsi"/>
          <w:lang w:eastAsia="en-AU"/>
        </w:rPr>
      </w:pPr>
      <w:r w:rsidRPr="00265614">
        <w:rPr>
          <w:rFonts w:eastAsia="Times New Roman" w:cstheme="minorHAnsi"/>
          <w:lang w:eastAsia="en-AU"/>
        </w:rPr>
        <w:t>The Strategy will guide whole of community action to help make Australia one of the best countries in the world for equality between women and men. It is an important mechanism to elevate and prioritise actions that will achieve gender equality.</w:t>
      </w:r>
    </w:p>
    <w:p w14:paraId="0D3F67E1" w14:textId="77777777" w:rsidR="00265614" w:rsidRPr="00265614" w:rsidRDefault="00265614" w:rsidP="00265614">
      <w:pPr>
        <w:rPr>
          <w:rFonts w:eastAsia="Times New Roman" w:cstheme="minorHAnsi"/>
          <w:lang w:eastAsia="en-AU"/>
        </w:rPr>
      </w:pPr>
      <w:r w:rsidRPr="00265614">
        <w:rPr>
          <w:rFonts w:eastAsia="Times New Roman" w:cstheme="minorHAnsi"/>
          <w:lang w:eastAsia="en-AU"/>
        </w:rPr>
        <w:t>The Strategy will complement other efforts across the Government to achieve gender equality, including:</w:t>
      </w:r>
    </w:p>
    <w:p w14:paraId="5480D89C" w14:textId="77777777" w:rsidR="00265614" w:rsidRPr="00265614" w:rsidRDefault="00265614" w:rsidP="00265614">
      <w:pPr>
        <w:numPr>
          <w:ilvl w:val="0"/>
          <w:numId w:val="14"/>
        </w:numPr>
        <w:ind w:left="568" w:hanging="284"/>
        <w:contextualSpacing/>
        <w:rPr>
          <w:rFonts w:eastAsia="Times New Roman" w:cstheme="minorHAnsi"/>
          <w:lang w:eastAsia="en-AU"/>
        </w:rPr>
      </w:pPr>
      <w:r w:rsidRPr="00265614">
        <w:rPr>
          <w:rFonts w:eastAsia="Times New Roman" w:cstheme="minorHAnsi"/>
          <w:lang w:eastAsia="en-AU"/>
        </w:rPr>
        <w:t>the </w:t>
      </w:r>
      <w:hyperlink r:id="rId11" w:history="1">
        <w:r w:rsidRPr="00265614">
          <w:rPr>
            <w:rFonts w:eastAsia="Times New Roman" w:cstheme="minorHAnsi"/>
            <w:i/>
            <w:iCs/>
            <w:color w:val="0062A0"/>
            <w:u w:val="single"/>
            <w:bdr w:val="none" w:sz="0" w:space="0" w:color="auto" w:frame="1"/>
            <w:lang w:eastAsia="en-AU"/>
          </w:rPr>
          <w:t>National Plan to End Violence against Women and Children 2022–32</w:t>
        </w:r>
      </w:hyperlink>
      <w:r w:rsidRPr="00265614">
        <w:rPr>
          <w:rFonts w:eastAsia="Times New Roman" w:cstheme="minorHAnsi"/>
          <w:lang w:eastAsia="en-AU"/>
        </w:rPr>
        <w:t> (National Plan)</w:t>
      </w:r>
    </w:p>
    <w:p w14:paraId="6E02C983" w14:textId="77777777" w:rsidR="00265614" w:rsidRPr="00265614" w:rsidRDefault="00265614" w:rsidP="00265614">
      <w:pPr>
        <w:numPr>
          <w:ilvl w:val="0"/>
          <w:numId w:val="14"/>
        </w:numPr>
        <w:ind w:left="568" w:hanging="284"/>
        <w:contextualSpacing/>
        <w:rPr>
          <w:rFonts w:eastAsia="Times New Roman" w:cstheme="minorHAnsi"/>
          <w:lang w:eastAsia="en-AU"/>
        </w:rPr>
      </w:pPr>
      <w:r w:rsidRPr="00265614">
        <w:rPr>
          <w:rFonts w:eastAsia="Times New Roman" w:cstheme="minorHAnsi"/>
          <w:lang w:eastAsia="en-AU"/>
        </w:rPr>
        <w:t>the Government’s response to the Australian Human Rights Commission’s </w:t>
      </w:r>
      <w:hyperlink r:id="rId12" w:history="1">
        <w:r w:rsidRPr="00265614">
          <w:rPr>
            <w:rFonts w:eastAsia="Times New Roman" w:cstheme="minorHAnsi"/>
            <w:color w:val="0062A0"/>
            <w:u w:val="single"/>
            <w:bdr w:val="none" w:sz="0" w:space="0" w:color="auto" w:frame="1"/>
            <w:lang w:eastAsia="en-AU"/>
          </w:rPr>
          <w:t>Respect@Work Report</w:t>
        </w:r>
      </w:hyperlink>
    </w:p>
    <w:p w14:paraId="7BF9958E" w14:textId="77777777" w:rsidR="00265614" w:rsidRPr="00265614" w:rsidRDefault="00265614" w:rsidP="00265614">
      <w:pPr>
        <w:numPr>
          <w:ilvl w:val="0"/>
          <w:numId w:val="14"/>
        </w:numPr>
        <w:ind w:left="568" w:hanging="284"/>
        <w:contextualSpacing/>
        <w:rPr>
          <w:rFonts w:eastAsia="Times New Roman" w:cstheme="minorHAnsi"/>
          <w:lang w:eastAsia="en-AU"/>
        </w:rPr>
      </w:pPr>
      <w:r w:rsidRPr="00265614">
        <w:rPr>
          <w:rFonts w:eastAsia="Times New Roman" w:cstheme="minorHAnsi"/>
          <w:lang w:eastAsia="en-AU"/>
        </w:rPr>
        <w:t>the</w:t>
      </w:r>
      <w:r w:rsidRPr="00265614">
        <w:rPr>
          <w:rFonts w:eastAsia="Times New Roman" w:cstheme="minorHAnsi"/>
          <w:i/>
          <w:iCs/>
          <w:bdr w:val="none" w:sz="0" w:space="0" w:color="auto" w:frame="1"/>
          <w:lang w:eastAsia="en-AU"/>
        </w:rPr>
        <w:t> </w:t>
      </w:r>
      <w:hyperlink r:id="rId13" w:history="1">
        <w:r w:rsidRPr="00265614">
          <w:rPr>
            <w:rFonts w:eastAsia="Times New Roman" w:cstheme="minorHAnsi"/>
            <w:i/>
            <w:iCs/>
            <w:color w:val="0062A0"/>
            <w:u w:val="single"/>
            <w:bdr w:val="none" w:sz="0" w:space="0" w:color="auto" w:frame="1"/>
            <w:lang w:eastAsia="en-AU"/>
          </w:rPr>
          <w:t>National Women’s Health Strategy 2020–2030</w:t>
        </w:r>
      </w:hyperlink>
    </w:p>
    <w:p w14:paraId="30EB693D" w14:textId="77777777" w:rsidR="00265614" w:rsidRPr="00265614" w:rsidRDefault="00265614" w:rsidP="00265614">
      <w:pPr>
        <w:rPr>
          <w:rFonts w:eastAsia="Times New Roman" w:cstheme="minorHAnsi"/>
          <w:lang w:eastAsia="en-AU"/>
        </w:rPr>
      </w:pPr>
      <w:r w:rsidRPr="00265614">
        <w:rPr>
          <w:rFonts w:eastAsia="Times New Roman" w:cstheme="minorHAnsi"/>
          <w:lang w:eastAsia="en-AU"/>
        </w:rPr>
        <w:t>It will also support the work of similar state and territory plans.</w:t>
      </w:r>
    </w:p>
    <w:p w14:paraId="52311E5A" w14:textId="77777777" w:rsidR="00265614" w:rsidRPr="00265614" w:rsidRDefault="00265614" w:rsidP="00265614">
      <w:pPr>
        <w:keepNext/>
        <w:keepLines/>
        <w:spacing w:before="240" w:line="240" w:lineRule="auto"/>
        <w:outlineLvl w:val="1"/>
        <w:rPr>
          <w:rFonts w:asciiTheme="majorHAnsi" w:eastAsia="Times New Roman" w:hAnsiTheme="majorHAnsi" w:cstheme="majorBidi"/>
          <w:color w:val="1B375C" w:themeColor="accent1"/>
          <w:sz w:val="32"/>
          <w:szCs w:val="28"/>
          <w:lang w:eastAsia="en-AU"/>
        </w:rPr>
      </w:pPr>
      <w:r w:rsidRPr="00265614">
        <w:rPr>
          <w:rFonts w:asciiTheme="majorHAnsi" w:eastAsia="Times New Roman" w:hAnsiTheme="majorHAnsi" w:cstheme="majorBidi"/>
          <w:color w:val="1B375C" w:themeColor="accent1"/>
          <w:sz w:val="32"/>
          <w:szCs w:val="28"/>
          <w:lang w:eastAsia="en-AU"/>
        </w:rPr>
        <w:t>How will the Strategy be developed?</w:t>
      </w:r>
    </w:p>
    <w:p w14:paraId="416650B1" w14:textId="77777777" w:rsidR="00265614" w:rsidRPr="00265614" w:rsidRDefault="00265614" w:rsidP="00265614">
      <w:pPr>
        <w:rPr>
          <w:rFonts w:eastAsia="Times New Roman"/>
          <w:lang w:eastAsia="en-AU"/>
        </w:rPr>
      </w:pPr>
      <w:r w:rsidRPr="00265614">
        <w:rPr>
          <w:rFonts w:eastAsia="Times New Roman"/>
          <w:lang w:eastAsia="en-AU"/>
        </w:rPr>
        <w:t>The Government will deliver the Strategy by mid-2023.</w:t>
      </w:r>
    </w:p>
    <w:p w14:paraId="0D3262A8" w14:textId="48B65936" w:rsidR="00265614" w:rsidRPr="00265614" w:rsidRDefault="00265614" w:rsidP="00265614">
      <w:pPr>
        <w:rPr>
          <w:rFonts w:eastAsia="Times New Roman"/>
          <w:lang w:eastAsia="en-AU"/>
        </w:rPr>
      </w:pPr>
      <w:r w:rsidRPr="00265614">
        <w:rPr>
          <w:rFonts w:eastAsia="Times New Roman"/>
          <w:lang w:eastAsia="en-AU"/>
        </w:rPr>
        <w:t>The Off</w:t>
      </w:r>
      <w:r w:rsidR="00E305F1">
        <w:rPr>
          <w:rFonts w:eastAsia="Times New Roman"/>
          <w:lang w:eastAsia="en-AU"/>
        </w:rPr>
        <w:t>ice for Women will develop the S</w:t>
      </w:r>
      <w:r w:rsidRPr="00265614">
        <w:rPr>
          <w:rFonts w:eastAsia="Times New Roman"/>
          <w:lang w:eastAsia="en-AU"/>
        </w:rPr>
        <w:t>trategy in consultation with women and girls around Australia, with a focus on ensuring that diverse voices are heard and included.</w:t>
      </w:r>
    </w:p>
    <w:p w14:paraId="60FF7E07" w14:textId="7B5B4D44" w:rsidR="00265614" w:rsidRPr="00265614" w:rsidRDefault="00265614" w:rsidP="00265614">
      <w:pPr>
        <w:rPr>
          <w:rFonts w:eastAsia="Times New Roman"/>
          <w:lang w:eastAsia="en-AU"/>
        </w:rPr>
      </w:pPr>
      <w:r w:rsidRPr="00265614">
        <w:rPr>
          <w:rFonts w:eastAsia="Times New Roman"/>
          <w:lang w:eastAsia="en-AU"/>
        </w:rPr>
        <w:t>The Government has also established the Women’s Economic Equality Taskforce (the Taskforce) to provide independent advice to Government, ensuring women are at the centre of policy and decision-making. The Taskforce will be a leading contributor to the Strategy, and as part of this will engage broadly with the Australian community to elevate and honour the voices of women in the Strategy.</w:t>
      </w:r>
    </w:p>
    <w:p w14:paraId="4492B8D2" w14:textId="77777777" w:rsidR="00265614" w:rsidRPr="00265614" w:rsidRDefault="00265614" w:rsidP="00265614">
      <w:pPr>
        <w:rPr>
          <w:rFonts w:eastAsia="Times New Roman"/>
          <w:lang w:eastAsia="en-AU"/>
        </w:rPr>
      </w:pPr>
      <w:r w:rsidRPr="00265614">
        <w:rPr>
          <w:rFonts w:eastAsia="Times New Roman"/>
          <w:lang w:eastAsia="en-AU"/>
        </w:rPr>
        <w:lastRenderedPageBreak/>
        <w:t>The six </w:t>
      </w:r>
      <w:hyperlink r:id="rId14" w:history="1">
        <w:r w:rsidRPr="00265614">
          <w:rPr>
            <w:rFonts w:eastAsia="Times New Roman"/>
            <w:color w:val="0062A0"/>
            <w:u w:val="single"/>
            <w:bdr w:val="none" w:sz="0" w:space="0" w:color="auto" w:frame="1"/>
            <w:lang w:eastAsia="en-AU"/>
          </w:rPr>
          <w:t>National Women’s Alliances</w:t>
        </w:r>
      </w:hyperlink>
      <w:r w:rsidRPr="00265614">
        <w:rPr>
          <w:rFonts w:eastAsia="Times New Roman"/>
          <w:lang w:eastAsia="en-AU"/>
        </w:rPr>
        <w:t> will also play a key role in informing the development of the Strategy.</w:t>
      </w:r>
    </w:p>
    <w:p w14:paraId="4BC927CE" w14:textId="77777777" w:rsidR="00265614" w:rsidRPr="00265614" w:rsidRDefault="00265614" w:rsidP="00265614">
      <w:pPr>
        <w:keepNext/>
        <w:keepLines/>
        <w:spacing w:before="360" w:line="240" w:lineRule="auto"/>
        <w:outlineLvl w:val="0"/>
        <w:rPr>
          <w:rFonts w:asciiTheme="majorHAnsi" w:eastAsia="Times New Roman" w:hAnsiTheme="majorHAnsi" w:cstheme="majorBidi"/>
          <w:color w:val="1B375C" w:themeColor="accent1"/>
          <w:sz w:val="40"/>
          <w:szCs w:val="40"/>
          <w:lang w:eastAsia="en-AU"/>
        </w:rPr>
      </w:pPr>
      <w:r w:rsidRPr="00265614">
        <w:rPr>
          <w:rFonts w:asciiTheme="majorHAnsi" w:eastAsia="Times New Roman" w:hAnsiTheme="majorHAnsi" w:cstheme="majorBidi"/>
          <w:color w:val="1B375C" w:themeColor="accent1"/>
          <w:sz w:val="40"/>
          <w:szCs w:val="40"/>
          <w:lang w:eastAsia="en-AU"/>
        </w:rPr>
        <w:t>Consultation</w:t>
      </w:r>
    </w:p>
    <w:p w14:paraId="7F08E9AA" w14:textId="64A9B946" w:rsidR="00265614" w:rsidRPr="00265614" w:rsidRDefault="00265614" w:rsidP="00265614">
      <w:pPr>
        <w:rPr>
          <w:rFonts w:eastAsia="Times New Roman"/>
          <w:lang w:eastAsia="en-AU"/>
        </w:rPr>
      </w:pPr>
      <w:r w:rsidRPr="00265614">
        <w:rPr>
          <w:rFonts w:eastAsia="Times New Roman"/>
          <w:lang w:eastAsia="en-AU"/>
        </w:rPr>
        <w:t xml:space="preserve">Consultations will reach people </w:t>
      </w:r>
      <w:r w:rsidRPr="00265614">
        <w:t>w</w:t>
      </w:r>
      <w:r w:rsidRPr="00265614">
        <w:rPr>
          <w:lang w:eastAsia="en-AU"/>
        </w:rPr>
        <w:t>ith lived experience of gender inequalit</w:t>
      </w:r>
      <w:r w:rsidRPr="00265614">
        <w:t xml:space="preserve">y, </w:t>
      </w:r>
      <w:r w:rsidRPr="00265614">
        <w:rPr>
          <w:lang w:eastAsia="en-AU"/>
        </w:rPr>
        <w:t>living with disability</w:t>
      </w:r>
      <w:r w:rsidRPr="00265614">
        <w:t xml:space="preserve">, First Nations people, </w:t>
      </w:r>
      <w:r w:rsidRPr="00265614">
        <w:rPr>
          <w:lang w:eastAsia="en-AU"/>
        </w:rPr>
        <w:t>people who are LGBTQIA+</w:t>
      </w:r>
      <w:r w:rsidRPr="00265614">
        <w:t xml:space="preserve">, </w:t>
      </w:r>
      <w:r w:rsidRPr="00265614">
        <w:rPr>
          <w:lang w:eastAsia="en-AU"/>
        </w:rPr>
        <w:t>migrant and refugee women</w:t>
      </w:r>
      <w:r w:rsidRPr="00265614">
        <w:t xml:space="preserve">, </w:t>
      </w:r>
      <w:r w:rsidRPr="00265614">
        <w:rPr>
          <w:lang w:eastAsia="en-AU"/>
        </w:rPr>
        <w:t>those living in regional and remote areas</w:t>
      </w:r>
      <w:r w:rsidRPr="00265614">
        <w:t xml:space="preserve"> and </w:t>
      </w:r>
      <w:r w:rsidRPr="00265614">
        <w:rPr>
          <w:lang w:eastAsia="en-AU"/>
        </w:rPr>
        <w:t>people from all backgrounds and classes.</w:t>
      </w:r>
    </w:p>
    <w:p w14:paraId="13F92B2D" w14:textId="77777777" w:rsidR="00265614" w:rsidRPr="00265614" w:rsidRDefault="00265614" w:rsidP="00265614">
      <w:pPr>
        <w:rPr>
          <w:rFonts w:eastAsia="Times New Roman"/>
          <w:lang w:eastAsia="en-AU"/>
        </w:rPr>
      </w:pPr>
      <w:r w:rsidRPr="00265614">
        <w:rPr>
          <w:rFonts w:eastAsia="Times New Roman"/>
          <w:lang w:eastAsia="en-AU"/>
        </w:rPr>
        <w:t xml:space="preserve">The consultation will be undertaken in </w:t>
      </w:r>
      <w:r w:rsidRPr="00265614">
        <w:rPr>
          <w:rFonts w:eastAsia="Times New Roman"/>
          <w:b/>
          <w:u w:val="single"/>
          <w:lang w:eastAsia="en-AU"/>
        </w:rPr>
        <w:t>two stages.</w:t>
      </w:r>
    </w:p>
    <w:p w14:paraId="58FA201C" w14:textId="0C7B7FD6" w:rsidR="00265614" w:rsidRPr="00265614" w:rsidRDefault="00265614" w:rsidP="00265614">
      <w:pPr>
        <w:rPr>
          <w:rFonts w:eastAsia="Times New Roman"/>
          <w:lang w:eastAsia="en-AU"/>
        </w:rPr>
      </w:pPr>
      <w:r w:rsidRPr="00265614">
        <w:rPr>
          <w:rFonts w:eastAsia="Times New Roman"/>
          <w:lang w:eastAsia="en-AU"/>
        </w:rPr>
        <w:t>Starting in November</w:t>
      </w:r>
      <w:r w:rsidR="00E305F1">
        <w:rPr>
          <w:rFonts w:eastAsia="Times New Roman"/>
          <w:lang w:eastAsia="en-AU"/>
        </w:rPr>
        <w:t xml:space="preserve"> 2022</w:t>
      </w:r>
      <w:r w:rsidRPr="00265614">
        <w:rPr>
          <w:rFonts w:eastAsia="Times New Roman"/>
          <w:lang w:eastAsia="en-AU"/>
        </w:rPr>
        <w:t>, the Office for Women will lead targeted national consultations to inform the early development of the Strategy. These will take place across Australia and include discussions with a range of stakeholders, including gender experts, academics, economists, women’s alliances, the community sector, unions and business.</w:t>
      </w:r>
    </w:p>
    <w:p w14:paraId="0EAEA5F2" w14:textId="64718783" w:rsidR="00265614" w:rsidRPr="00265614" w:rsidRDefault="00E305F1" w:rsidP="00265614">
      <w:pPr>
        <w:rPr>
          <w:rFonts w:eastAsia="Times New Roman"/>
          <w:lang w:eastAsia="en-AU"/>
        </w:rPr>
      </w:pPr>
      <w:r>
        <w:rPr>
          <w:rFonts w:eastAsia="Times New Roman"/>
          <w:lang w:eastAsia="en-AU"/>
        </w:rPr>
        <w:t>In early 2023,</w:t>
      </w:r>
      <w:r w:rsidR="00265614" w:rsidRPr="00265614">
        <w:rPr>
          <w:rFonts w:eastAsia="Times New Roman"/>
          <w:lang w:eastAsia="en-AU"/>
        </w:rPr>
        <w:t xml:space="preserve"> broader community consultations will provide an opportunity for people to share their views of how we achieve gender equality and how t</w:t>
      </w:r>
      <w:r>
        <w:rPr>
          <w:rFonts w:eastAsia="Times New Roman"/>
          <w:lang w:eastAsia="en-AU"/>
        </w:rPr>
        <w:t>his should be reflected in the S</w:t>
      </w:r>
      <w:r w:rsidR="00265614" w:rsidRPr="00265614">
        <w:rPr>
          <w:rFonts w:eastAsia="Times New Roman"/>
          <w:lang w:eastAsia="en-AU"/>
        </w:rPr>
        <w:t>trategy.</w:t>
      </w:r>
    </w:p>
    <w:p w14:paraId="5D20EB3C" w14:textId="0A9BB539" w:rsidR="00265614" w:rsidRPr="00265614" w:rsidRDefault="00265614" w:rsidP="00265614">
      <w:pPr>
        <w:rPr>
          <w:rFonts w:eastAsia="Times New Roman"/>
          <w:lang w:eastAsia="en-AU"/>
        </w:rPr>
      </w:pPr>
      <w:r w:rsidRPr="00265614">
        <w:rPr>
          <w:rFonts w:eastAsia="Times New Roman"/>
          <w:lang w:eastAsia="en-AU"/>
        </w:rPr>
        <w:t>The Strategy will draw from a comprehensive evidence base, and reflect public commentary, recent consultations and submissions to government. It will draw from contemporary research and reports, including those prepared for the </w:t>
      </w:r>
      <w:hyperlink r:id="rId15" w:history="1">
        <w:r w:rsidRPr="00265614">
          <w:rPr>
            <w:rFonts w:eastAsia="Times New Roman"/>
            <w:color w:val="0062A0"/>
            <w:u w:val="single"/>
            <w:bdr w:val="none" w:sz="0" w:space="0" w:color="auto" w:frame="1"/>
            <w:lang w:eastAsia="en-AU"/>
          </w:rPr>
          <w:t>Jobs and Skills Summit and resulting Employment White Paper</w:t>
        </w:r>
      </w:hyperlink>
    </w:p>
    <w:p w14:paraId="52ED5116" w14:textId="44D08249" w:rsidR="00265614" w:rsidRPr="00265614" w:rsidRDefault="00265614" w:rsidP="00265614">
      <w:pPr>
        <w:rPr>
          <w:rFonts w:eastAsia="Times New Roman"/>
          <w:lang w:eastAsia="en-AU"/>
        </w:rPr>
      </w:pPr>
      <w:r w:rsidRPr="00265614">
        <w:rPr>
          <w:rFonts w:eastAsia="Times New Roman"/>
          <w:lang w:eastAsia="en-AU"/>
        </w:rPr>
        <w:t xml:space="preserve">Further information on consultation will be provided on the Office for Women’s </w:t>
      </w:r>
      <w:hyperlink r:id="rId16" w:history="1">
        <w:r w:rsidRPr="00265614">
          <w:rPr>
            <w:rFonts w:eastAsia="Times New Roman"/>
            <w:color w:val="3266AB"/>
            <w:u w:val="single"/>
            <w:lang w:eastAsia="en-AU"/>
          </w:rPr>
          <w:t>webpage</w:t>
        </w:r>
      </w:hyperlink>
      <w:r w:rsidRPr="00265614">
        <w:rPr>
          <w:rFonts w:eastAsia="Times New Roman"/>
          <w:lang w:eastAsia="en-AU"/>
        </w:rPr>
        <w:t xml:space="preserve"> </w:t>
      </w:r>
      <w:r w:rsidR="00E305F1">
        <w:rPr>
          <w:rFonts w:eastAsia="Times New Roman"/>
          <w:lang w:eastAsia="en-AU"/>
        </w:rPr>
        <w:t>.</w:t>
      </w:r>
    </w:p>
    <w:p w14:paraId="5D4F6FA7" w14:textId="11FCC05A" w:rsidR="00265614" w:rsidRPr="00265614" w:rsidRDefault="00265614" w:rsidP="00265614">
      <w:pPr>
        <w:rPr>
          <w:rFonts w:eastAsia="Times New Roman"/>
          <w:lang w:eastAsia="en-AU"/>
        </w:rPr>
      </w:pPr>
      <w:r w:rsidRPr="00265614">
        <w:rPr>
          <w:rFonts w:eastAsia="Times New Roman"/>
          <w:lang w:eastAsia="en-AU"/>
        </w:rPr>
        <w:t>For further information</w:t>
      </w:r>
      <w:r w:rsidR="00E305F1">
        <w:rPr>
          <w:rFonts w:eastAsia="Times New Roman"/>
          <w:lang w:eastAsia="en-AU"/>
        </w:rPr>
        <w:t xml:space="preserve"> or to</w:t>
      </w:r>
      <w:r w:rsidRPr="00265614">
        <w:rPr>
          <w:rFonts w:eastAsia="Times New Roman"/>
          <w:lang w:eastAsia="en-AU"/>
        </w:rPr>
        <w:t xml:space="preserve"> express interest in being included in consultation,</w:t>
      </w:r>
      <w:r w:rsidR="00E305F1">
        <w:rPr>
          <w:rFonts w:eastAsia="Times New Roman"/>
          <w:lang w:eastAsia="en-AU"/>
        </w:rPr>
        <w:t xml:space="preserve"> please </w:t>
      </w:r>
      <w:r w:rsidRPr="00265614">
        <w:rPr>
          <w:rFonts w:eastAsia="Times New Roman"/>
          <w:lang w:eastAsia="en-AU"/>
        </w:rPr>
        <w:t>contact: </w:t>
      </w:r>
      <w:hyperlink r:id="rId17" w:history="1">
        <w:r w:rsidRPr="00265614">
          <w:rPr>
            <w:rFonts w:eastAsia="Times New Roman"/>
            <w:color w:val="0062A0"/>
            <w:u w:val="single"/>
            <w:bdr w:val="none" w:sz="0" w:space="0" w:color="auto" w:frame="1"/>
            <w:lang w:eastAsia="en-AU"/>
          </w:rPr>
          <w:t>OFWengagement@pmc.gov.au</w:t>
        </w:r>
      </w:hyperlink>
    </w:p>
    <w:p w14:paraId="7B45772E" w14:textId="4B22D0B7" w:rsidR="00FE630C" w:rsidRPr="00FE630C" w:rsidRDefault="0090297B" w:rsidP="00467470">
      <w:pPr>
        <w:pStyle w:val="Heading1"/>
      </w:pPr>
      <w:r>
        <w:t xml:space="preserve">Current situation </w:t>
      </w:r>
    </w:p>
    <w:p w14:paraId="1E8E3FBE" w14:textId="049A210C" w:rsidR="00FA77BF" w:rsidRPr="00FA77BF" w:rsidRDefault="00FA77BF" w:rsidP="00FA77BF">
      <w:pPr>
        <w:rPr>
          <w:lang w:val="en-US"/>
        </w:rPr>
      </w:pPr>
      <w:r w:rsidRPr="00FA77BF">
        <w:t xml:space="preserve">(Note: The research and evidence outlined in this paper are not intended to be </w:t>
      </w:r>
      <w:r w:rsidR="00A33056">
        <w:t>exhaustive</w:t>
      </w:r>
      <w:r w:rsidRPr="00FA77BF">
        <w:t xml:space="preserve">, instead </w:t>
      </w:r>
      <w:r w:rsidR="00E305F1">
        <w:t>it is</w:t>
      </w:r>
      <w:r w:rsidRPr="00FA77BF">
        <w:t xml:space="preserve"> used to facilitate </w:t>
      </w:r>
      <w:r w:rsidR="00E305F1">
        <w:t>consultation</w:t>
      </w:r>
      <w:r w:rsidRPr="00FA77BF">
        <w:t>.)</w:t>
      </w:r>
    </w:p>
    <w:p w14:paraId="3FB79BAB" w14:textId="3CBC78D1" w:rsidR="00701838" w:rsidRPr="003B757B" w:rsidRDefault="00701838" w:rsidP="00082CFE">
      <w:pPr>
        <w:pStyle w:val="BulletedList-Level1"/>
        <w:ind w:left="426" w:hanging="284"/>
        <w:contextualSpacing w:val="0"/>
        <w:rPr>
          <w:lang w:val="en-US"/>
        </w:rPr>
      </w:pPr>
      <w:r>
        <w:lastRenderedPageBreak/>
        <w:t>Women in</w:t>
      </w:r>
      <w:r w:rsidRPr="001B0B4B">
        <w:t xml:space="preserve"> </w:t>
      </w:r>
      <w:r>
        <w:t>Australia engage in 43</w:t>
      </w:r>
      <w:r w:rsidR="00E305F1">
        <w:t xml:space="preserve"> per cent</w:t>
      </w:r>
      <w:r>
        <w:t xml:space="preserve"> </w:t>
      </w:r>
      <w:r w:rsidRPr="006E1CB4">
        <w:t xml:space="preserve">less paid work than men. </w:t>
      </w:r>
      <w:r>
        <w:t>However, women spend 81</w:t>
      </w:r>
      <w:r w:rsidR="00E305F1">
        <w:t xml:space="preserve"> per cent </w:t>
      </w:r>
      <w:r>
        <w:t>more time in unpaid work than men impacting their ability to do more paid works. Women perform 50</w:t>
      </w:r>
      <w:r w:rsidR="00E305F1">
        <w:t xml:space="preserve"> per cent</w:t>
      </w:r>
      <w:r>
        <w:t xml:space="preserve"> of the total value of Australia’s paid and unpaid work</w:t>
      </w:r>
      <w:r w:rsidRPr="00806BED">
        <w:t>.</w:t>
      </w:r>
      <w:r w:rsidRPr="00806BED">
        <w:rPr>
          <w:vertAlign w:val="superscript"/>
        </w:rPr>
        <w:footnoteReference w:id="2"/>
      </w:r>
    </w:p>
    <w:p w14:paraId="331F3289" w14:textId="1ACEA05A" w:rsidR="00344F6B" w:rsidRDefault="00701838" w:rsidP="00082CFE">
      <w:pPr>
        <w:pStyle w:val="BulletedList-Level1"/>
        <w:ind w:left="426" w:hanging="284"/>
        <w:contextualSpacing w:val="0"/>
      </w:pPr>
      <w:r>
        <w:t xml:space="preserve">Australia has a </w:t>
      </w:r>
      <w:r w:rsidR="00344F6B" w:rsidRPr="000D5820">
        <w:t>large labour force participation gap between women</w:t>
      </w:r>
      <w:r w:rsidR="00344F6B">
        <w:t xml:space="preserve"> and men</w:t>
      </w:r>
      <w:r w:rsidR="00344F6B" w:rsidRPr="0094453E">
        <w:t xml:space="preserve"> </w:t>
      </w:r>
      <w:r w:rsidR="00344F6B" w:rsidRPr="006672AA">
        <w:t>– 8.</w:t>
      </w:r>
      <w:r w:rsidR="00A33056">
        <w:t>6</w:t>
      </w:r>
      <w:r w:rsidR="00344F6B" w:rsidRPr="006672AA">
        <w:t xml:space="preserve"> percentage points in </w:t>
      </w:r>
      <w:r w:rsidR="00A33056">
        <w:t>October</w:t>
      </w:r>
      <w:r w:rsidR="00344F6B" w:rsidRPr="006672AA">
        <w:t xml:space="preserve"> 2022</w:t>
      </w:r>
      <w:r w:rsidR="00E305F1">
        <w:t xml:space="preserve"> (7</w:t>
      </w:r>
      <w:r w:rsidR="00A33056">
        <w:t>0.9</w:t>
      </w:r>
      <w:r w:rsidR="00E305F1">
        <w:t xml:space="preserve"> per cent</w:t>
      </w:r>
      <w:r w:rsidR="00344F6B">
        <w:t xml:space="preserve"> men vs 62.3</w:t>
      </w:r>
      <w:r w:rsidR="00E305F1">
        <w:t xml:space="preserve"> per cent</w:t>
      </w:r>
      <w:r w:rsidR="00344F6B">
        <w:t xml:space="preserve"> women).</w:t>
      </w:r>
    </w:p>
    <w:p w14:paraId="6D0E52B9" w14:textId="05F68FFD" w:rsidR="001D009B" w:rsidRPr="00701838" w:rsidRDefault="001D009B" w:rsidP="00082CFE">
      <w:pPr>
        <w:pStyle w:val="BulletedList-Level1"/>
        <w:ind w:left="426" w:hanging="284"/>
        <w:contextualSpacing w:val="0"/>
        <w:rPr>
          <w:lang w:val="en-US"/>
        </w:rPr>
      </w:pPr>
      <w:r>
        <w:t>Uptake of the Government’s Paid Parental Leave (PPL) Scheme is highly gender segregated: 99</w:t>
      </w:r>
      <w:r w:rsidR="00E305F1">
        <w:t xml:space="preserve"> per cent</w:t>
      </w:r>
      <w:r>
        <w:t xml:space="preserve"> of Parental Leave Pay</w:t>
      </w:r>
      <w:r w:rsidR="00A33056">
        <w:t xml:space="preserve"> recipients are women and 99 per cent</w:t>
      </w:r>
      <w:r>
        <w:t xml:space="preserve"> of Dad and Partner Pay (DaPP) recipients are men. </w:t>
      </w:r>
      <w:r w:rsidRPr="003B757B">
        <w:t>In 2020</w:t>
      </w:r>
      <w:r w:rsidR="00E305F1">
        <w:t>–</w:t>
      </w:r>
      <w:r w:rsidRPr="003B757B">
        <w:t>21, 89,784 fathers and partners received DaPP, accounting for only around 30</w:t>
      </w:r>
      <w:r w:rsidR="00E305F1">
        <w:t xml:space="preserve"> per cent</w:t>
      </w:r>
      <w:r w:rsidRPr="003B757B">
        <w:t xml:space="preserve"> of births in Australia. By contrast, 169,029 mothers received PPL, accounting</w:t>
      </w:r>
      <w:r w:rsidR="00E305F1">
        <w:t xml:space="preserve"> for 57 per cent</w:t>
      </w:r>
      <w:r w:rsidRPr="003B757B">
        <w:t xml:space="preserve"> of births.</w:t>
      </w:r>
      <w:r w:rsidRPr="003B757B">
        <w:rPr>
          <w:rStyle w:val="FootnoteReference"/>
          <w:sz w:val="18"/>
          <w:szCs w:val="18"/>
        </w:rPr>
        <w:footnoteReference w:id="3"/>
      </w:r>
      <w:r>
        <w:t xml:space="preserve"> While employer</w:t>
      </w:r>
      <w:r>
        <w:noBreakHyphen/>
        <w:t>provided p</w:t>
      </w:r>
      <w:r w:rsidRPr="004C73E2">
        <w:t>rimary carers leave is becoming increasingly available to both men and women, only 12</w:t>
      </w:r>
      <w:r w:rsidR="00E305F1">
        <w:t xml:space="preserve"> per cent</w:t>
      </w:r>
      <w:r w:rsidRPr="004C73E2">
        <w:t xml:space="preserve"> of those who took it in 2020</w:t>
      </w:r>
      <w:r>
        <w:t>–</w:t>
      </w:r>
      <w:r w:rsidRPr="004C73E2">
        <w:t>21 were men.</w:t>
      </w:r>
      <w:r>
        <w:rPr>
          <w:rStyle w:val="FootnoteReference"/>
        </w:rPr>
        <w:footnoteReference w:id="4"/>
      </w:r>
    </w:p>
    <w:p w14:paraId="2225E6FD" w14:textId="23FBC39E" w:rsidR="00344F6B" w:rsidRDefault="00344F6B" w:rsidP="00082CFE">
      <w:pPr>
        <w:pStyle w:val="BulletedList-Level1"/>
        <w:ind w:left="426" w:hanging="284"/>
        <w:contextualSpacing w:val="0"/>
      </w:pPr>
      <w:r w:rsidRPr="00701838">
        <w:t>Following</w:t>
      </w:r>
      <w:r>
        <w:t xml:space="preserve"> parenthood, women typically make significant and long-term adjustments to their paid employment, while men’s employment remains largely unchanged. </w:t>
      </w:r>
      <w:r w:rsidR="00701838" w:rsidRPr="00701838">
        <w:t>Women in Australi</w:t>
      </w:r>
      <w:r w:rsidR="00701838">
        <w:t xml:space="preserve">a face a ‘motherhood penalty’. </w:t>
      </w:r>
      <w:r w:rsidR="00701838" w:rsidRPr="00701838">
        <w:t xml:space="preserve">Women’s earnings </w:t>
      </w:r>
      <w:r w:rsidR="00E305F1">
        <w:t>are reduced by an average of 55 per cent</w:t>
      </w:r>
      <w:r w:rsidR="00701838" w:rsidRPr="00701838">
        <w:t xml:space="preserve"> in the first 5 years of parenthood. Financial penalty persists even among women who continue to w</w:t>
      </w:r>
      <w:r w:rsidR="00E305F1">
        <w:t>ork – their incomes are about 5 per cent</w:t>
      </w:r>
      <w:r w:rsidR="00701838" w:rsidRPr="00701838">
        <w:t xml:space="preserve"> lower than if they had not </w:t>
      </w:r>
      <w:r w:rsidR="00E43E9C">
        <w:t>had children.</w:t>
      </w:r>
      <w:r w:rsidR="00E43E9C">
        <w:rPr>
          <w:rStyle w:val="FootnoteReference"/>
        </w:rPr>
        <w:footnoteReference w:id="5"/>
      </w:r>
    </w:p>
    <w:p w14:paraId="43651347" w14:textId="566E4B75" w:rsidR="00701838" w:rsidRPr="00701838" w:rsidRDefault="00344F6B" w:rsidP="00082CFE">
      <w:pPr>
        <w:pStyle w:val="BulletedList-Level1"/>
        <w:ind w:left="426" w:hanging="284"/>
        <w:contextualSpacing w:val="0"/>
        <w:rPr>
          <w:lang w:val="en-US"/>
        </w:rPr>
      </w:pPr>
      <w:r w:rsidRPr="00701838">
        <w:t>The</w:t>
      </w:r>
      <w:r w:rsidRPr="00344F6B">
        <w:t xml:space="preserve"> latest Australian Bureau of Statistics (ABS</w:t>
      </w:r>
      <w:r w:rsidRPr="00701838">
        <w:rPr>
          <w:i/>
        </w:rPr>
        <w:t>) Time Use Surve</w:t>
      </w:r>
      <w:r w:rsidRPr="00344F6B">
        <w:rPr>
          <w:i/>
        </w:rPr>
        <w:t>y</w:t>
      </w:r>
      <w:r w:rsidRPr="00344F6B">
        <w:t xml:space="preserve"> data shows that in 2020–21,</w:t>
      </w:r>
      <w:r w:rsidR="00701838" w:rsidRPr="00701838">
        <w:rPr>
          <w:b/>
        </w:rPr>
        <w:t xml:space="preserve"> </w:t>
      </w:r>
      <w:r w:rsidRPr="00082CFE">
        <w:t>women</w:t>
      </w:r>
      <w:r w:rsidR="00701838" w:rsidRPr="00082CFE">
        <w:t xml:space="preserve"> – when compared to men – </w:t>
      </w:r>
      <w:r w:rsidRPr="00082CFE">
        <w:t>do over 9 hours m</w:t>
      </w:r>
      <w:r w:rsidR="001F45DA">
        <w:t>ore unpaid work per week (or 1 hour 19 minutes</w:t>
      </w:r>
      <w:r w:rsidRPr="00082CFE">
        <w:t xml:space="preserve"> per day)</w:t>
      </w:r>
      <w:r w:rsidR="00701838" w:rsidRPr="00E305F1">
        <w:t xml:space="preserve"> but</w:t>
      </w:r>
      <w:r w:rsidR="001F45DA">
        <w:t xml:space="preserve"> </w:t>
      </w:r>
      <w:r w:rsidRPr="00082CFE">
        <w:t xml:space="preserve">spend 1 hour less per day in employment related activities (e.g. working, job searching </w:t>
      </w:r>
      <w:r w:rsidR="00701838" w:rsidRPr="00082CFE">
        <w:t>and travelling</w:t>
      </w:r>
      <w:r w:rsidR="00701838">
        <w:t xml:space="preserve"> to and from work</w:t>
      </w:r>
      <w:r w:rsidR="001F45DA">
        <w:t>)</w:t>
      </w:r>
      <w:r w:rsidR="00701838">
        <w:t xml:space="preserve">. </w:t>
      </w:r>
    </w:p>
    <w:p w14:paraId="7C540704" w14:textId="7F8F3DC1" w:rsidR="002871FE" w:rsidRPr="002871FE" w:rsidRDefault="00344F6B" w:rsidP="00344F6B">
      <w:pPr>
        <w:pStyle w:val="Heading1"/>
        <w:rPr>
          <w:highlight w:val="yellow"/>
        </w:rPr>
      </w:pPr>
      <w:r>
        <w:lastRenderedPageBreak/>
        <w:t>Drivers of gender inequality</w:t>
      </w:r>
    </w:p>
    <w:p w14:paraId="3D7C9C94" w14:textId="4CEF0B20" w:rsidR="00403F2F" w:rsidRDefault="00A33056" w:rsidP="00805037">
      <w:pPr>
        <w:spacing w:after="200"/>
        <w:rPr>
          <w:b/>
          <w:color w:val="FF0000"/>
          <w:highlight w:val="yellow"/>
        </w:rPr>
      </w:pPr>
      <w:r>
        <w:t>Research</w:t>
      </w:r>
      <w:r w:rsidR="00403F2F">
        <w:t xml:space="preserve"> and stakeholder feedback to date suggests</w:t>
      </w:r>
      <w:r w:rsidR="00FA77BF">
        <w:t>,</w:t>
      </w:r>
      <w:r w:rsidR="0081588A">
        <w:t xml:space="preserve"> but not limited to,</w:t>
      </w:r>
      <w:r w:rsidR="00FA77BF">
        <w:t xml:space="preserve"> </w:t>
      </w:r>
      <w:r w:rsidR="00403F2F">
        <w:t xml:space="preserve">the following drivers of gender inequality on </w:t>
      </w:r>
      <w:r w:rsidR="00403F2F" w:rsidRPr="00805037">
        <w:rPr>
          <w:color w:val="0F1F35" w:themeColor="text2"/>
        </w:rPr>
        <w:t>family and unpaid caring responsibilities</w:t>
      </w:r>
      <w:r w:rsidR="00B77A6C" w:rsidRPr="00805037">
        <w:rPr>
          <w:color w:val="0F1F35" w:themeColor="text2"/>
        </w:rPr>
        <w:t xml:space="preserve">: </w:t>
      </w:r>
    </w:p>
    <w:p w14:paraId="51BFC3FE" w14:textId="637533DA" w:rsidR="00B77A6C" w:rsidRDefault="00B77A6C" w:rsidP="00805037">
      <w:pPr>
        <w:pStyle w:val="BulletedList-Level1"/>
        <w:ind w:left="426" w:hanging="284"/>
        <w:contextualSpacing w:val="0"/>
      </w:pPr>
      <w:r w:rsidRPr="006B747A">
        <w:t xml:space="preserve">Parenthood has a significant impact of women’s economic outcomes. </w:t>
      </w:r>
      <w:r w:rsidRPr="00B77A6C">
        <w:t>Since work and caring responsibilities seldom aligned, someone in the family – often the secondary income earner – has to do the juggling, balancing their work lives and family lives.</w:t>
      </w:r>
      <w:r>
        <w:t xml:space="preserve"> </w:t>
      </w:r>
      <w:r w:rsidRPr="006B747A">
        <w:t xml:space="preserve">Taking time out </w:t>
      </w:r>
      <w:r w:rsidR="007B5F75">
        <w:t>of work or limiting work hours – often for caring responsibilities –</w:t>
      </w:r>
      <w:r w:rsidRPr="006B747A">
        <w:t xml:space="preserve"> can have a big impact on </w:t>
      </w:r>
      <w:r w:rsidR="007B5F75">
        <w:t xml:space="preserve">women’s </w:t>
      </w:r>
      <w:r>
        <w:t xml:space="preserve">labour force participation, </w:t>
      </w:r>
      <w:r w:rsidRPr="006B747A">
        <w:t>pay and career progression</w:t>
      </w:r>
      <w:r>
        <w:t>.</w:t>
      </w:r>
      <w:r w:rsidRPr="006B747A">
        <w:t xml:space="preserve"> </w:t>
      </w:r>
      <w:r w:rsidRPr="0041290B">
        <w:t>Factors related to unpaid care work, interrupted workforce participation and part</w:t>
      </w:r>
      <w:r w:rsidRPr="0041290B">
        <w:noBreakHyphen/>
        <w:t>time employment contribute 33</w:t>
      </w:r>
      <w:r w:rsidR="00E305F1">
        <w:t xml:space="preserve"> per cent</w:t>
      </w:r>
      <w:r w:rsidRPr="0041290B">
        <w:t xml:space="preserve"> of the national gender pay gap.</w:t>
      </w:r>
      <w:r w:rsidRPr="0041290B">
        <w:rPr>
          <w:vertAlign w:val="superscript"/>
        </w:rPr>
        <w:footnoteReference w:id="6"/>
      </w:r>
    </w:p>
    <w:p w14:paraId="17130911" w14:textId="7BEE8AF2" w:rsidR="003920A1" w:rsidRPr="00B77A6C" w:rsidRDefault="00FB6C55" w:rsidP="00805037">
      <w:pPr>
        <w:pStyle w:val="BulletedList-Level1"/>
        <w:ind w:left="426" w:hanging="284"/>
        <w:contextualSpacing w:val="0"/>
      </w:pPr>
      <w:r>
        <w:t>Persistent gender</w:t>
      </w:r>
      <w:r w:rsidR="003920A1" w:rsidRPr="00B77A6C">
        <w:t xml:space="preserve"> norms that deem women as ‘caregivers’ and men as ‘breadwinners’, along with existing social structures can make it difficult for fathers to be highly involved and engaged at home.</w:t>
      </w:r>
      <w:r w:rsidR="003920A1">
        <w:rPr>
          <w:rFonts w:eastAsiaTheme="minorHAnsi"/>
          <w:szCs w:val="22"/>
        </w:rPr>
        <w:t xml:space="preserve"> While m</w:t>
      </w:r>
      <w:r w:rsidR="003920A1" w:rsidRPr="00B77A6C">
        <w:t>en’s identities, priorities and aspirations in relation to work and care have changed signifi</w:t>
      </w:r>
      <w:r>
        <w:t xml:space="preserve">cantly over recent decades, most </w:t>
      </w:r>
      <w:r w:rsidR="003920A1" w:rsidRPr="00B77A6C">
        <w:t xml:space="preserve">employers have not kept up with these changes. </w:t>
      </w:r>
    </w:p>
    <w:p w14:paraId="7814E7CC" w14:textId="58DE5F46" w:rsidR="00B77A6C" w:rsidRDefault="00B77A6C" w:rsidP="00805037">
      <w:pPr>
        <w:pStyle w:val="BulletedList-Level1"/>
        <w:ind w:left="426" w:hanging="284"/>
        <w:contextualSpacing w:val="0"/>
      </w:pPr>
      <w:r w:rsidRPr="00B77A6C">
        <w:t>Women with young children are much more likely to be working flexibly – part-time, flexible working arrangement or from home – than men with young children. Often these flexible and part time roles are found in a limited number of occupations and industries that are less well remunerated than industries that have predominately male full-time workers.</w:t>
      </w:r>
    </w:p>
    <w:p w14:paraId="735894AF" w14:textId="28632BE9" w:rsidR="00FB6C55" w:rsidRDefault="00FB6C55" w:rsidP="00805037">
      <w:pPr>
        <w:pStyle w:val="BulletedList-Level1"/>
        <w:ind w:left="426" w:hanging="284"/>
        <w:contextualSpacing w:val="0"/>
      </w:pPr>
      <w:r w:rsidRPr="00FB6C55">
        <w:t>Australia’s current tax and transfer system and child care costs impact on families’ decision to increase working hours, particularly for families with</w:t>
      </w:r>
      <w:r w:rsidR="007B5F75">
        <w:t xml:space="preserve"> young children. The interaction between</w:t>
      </w:r>
      <w:r w:rsidRPr="00FB6C55">
        <w:t xml:space="preserve"> tax, welfare settings and out-of-pocket child care costs, can be punishing for the</w:t>
      </w:r>
      <w:r>
        <w:t xml:space="preserve"> fourth and fifth day of work. </w:t>
      </w:r>
      <w:r w:rsidRPr="00FB6C55">
        <w:t xml:space="preserve">As a result, </w:t>
      </w:r>
      <w:r w:rsidR="007B5F75">
        <w:t>a</w:t>
      </w:r>
      <w:r w:rsidRPr="00FB6C55">
        <w:t xml:space="preserve"> typical woman with pre-teenage children works 2.5 days a week, and the proportion of Australian women working part time is higher than almost any other developed economy. </w:t>
      </w:r>
    </w:p>
    <w:p w14:paraId="4EABC532" w14:textId="5F56D695" w:rsidR="00805037" w:rsidRDefault="00FB6C55" w:rsidP="007668B4">
      <w:pPr>
        <w:pStyle w:val="BulletedList-Level1"/>
        <w:ind w:left="426" w:hanging="284"/>
        <w:contextualSpacing w:val="0"/>
      </w:pPr>
      <w:r w:rsidRPr="00FB6C55">
        <w:t>In addition to caring for young children, women continue to shoulder significant burden on caring for their elderly par</w:t>
      </w:r>
      <w:r w:rsidR="00E43E9C">
        <w:t xml:space="preserve">ents and other family members. </w:t>
      </w:r>
      <w:r w:rsidR="00E305F1">
        <w:t>As at 2018, 72 per cent</w:t>
      </w:r>
      <w:r w:rsidRPr="00FB6C55">
        <w:t xml:space="preserve"> of primary carers – i.e.</w:t>
      </w:r>
      <w:r w:rsidR="007B5F75">
        <w:t>,</w:t>
      </w:r>
      <w:r w:rsidRPr="00FB6C55">
        <w:t xml:space="preserve"> they provide the majority of care </w:t>
      </w:r>
      <w:r w:rsidRPr="00FB6C55">
        <w:lastRenderedPageBreak/>
        <w:t xml:space="preserve">to the person needing support </w:t>
      </w:r>
      <w:r w:rsidRPr="00FB6C55">
        <w:softHyphen/>
        <w:t>– were women, with middle-aged primary carers particularly likely to be women (82</w:t>
      </w:r>
      <w:r w:rsidR="001F45DA">
        <w:t xml:space="preserve"> per cent</w:t>
      </w:r>
      <w:r w:rsidR="00E305F1">
        <w:t xml:space="preserve"> for carers aged 35–44; and 75 per cent</w:t>
      </w:r>
      <w:r w:rsidRPr="00FB6C55">
        <w:t xml:space="preserve"> for those aged 45–54).</w:t>
      </w:r>
      <w:r w:rsidRPr="00FB6C55">
        <w:rPr>
          <w:vertAlign w:val="superscript"/>
        </w:rPr>
        <w:footnoteReference w:id="7"/>
      </w:r>
    </w:p>
    <w:p w14:paraId="5CC07FB6" w14:textId="2EB8FD29" w:rsidR="007668B4" w:rsidRDefault="007668B4" w:rsidP="007668B4">
      <w:pPr>
        <w:pStyle w:val="Heading1"/>
      </w:pPr>
      <w:r>
        <w:t xml:space="preserve">Discussion </w:t>
      </w:r>
    </w:p>
    <w:p w14:paraId="5FF04B32" w14:textId="1973CB55" w:rsidR="007668B4" w:rsidRPr="00805037" w:rsidRDefault="00017785" w:rsidP="007668B4">
      <w:pPr>
        <w:rPr>
          <w:b/>
        </w:rPr>
      </w:pPr>
      <w:r>
        <w:t>W</w:t>
      </w:r>
      <w:r w:rsidR="007668B4">
        <w:t>e ask that you contribute your views on</w:t>
      </w:r>
      <w:r w:rsidR="00805037">
        <w:t xml:space="preserve">: </w:t>
      </w:r>
    </w:p>
    <w:p w14:paraId="3CE21E11" w14:textId="32133A7E" w:rsidR="00082CFE" w:rsidRDefault="00F421BE" w:rsidP="00FA77BF">
      <w:pPr>
        <w:pStyle w:val="ListParagraph"/>
        <w:numPr>
          <w:ilvl w:val="0"/>
          <w:numId w:val="50"/>
        </w:numPr>
        <w:contextualSpacing w:val="0"/>
      </w:pPr>
      <w:r>
        <w:t>What are t</w:t>
      </w:r>
      <w:r w:rsidR="007668B4">
        <w:t xml:space="preserve">he drivers of gender inequality </w:t>
      </w:r>
      <w:r>
        <w:t>in care r</w:t>
      </w:r>
      <w:r w:rsidR="00082CFE">
        <w:t>esponsibilities and unpaid work?</w:t>
      </w:r>
    </w:p>
    <w:p w14:paraId="61AF0DA4" w14:textId="77777777" w:rsidR="00A62E0A" w:rsidRDefault="00FA77BF" w:rsidP="00A62E0A">
      <w:pPr>
        <w:numPr>
          <w:ilvl w:val="1"/>
          <w:numId w:val="50"/>
        </w:numPr>
        <w:spacing w:line="240" w:lineRule="auto"/>
        <w:rPr>
          <w:rFonts w:eastAsia="Times New Roman"/>
        </w:rPr>
      </w:pPr>
      <w:r>
        <w:rPr>
          <w:rFonts w:eastAsia="Times New Roman"/>
        </w:rPr>
        <w:t>What is the role of policy settings (e.g. tax rates for second earners) and gender norms in driving the gender divide in paid and unpaid work?</w:t>
      </w:r>
    </w:p>
    <w:p w14:paraId="55F545D2" w14:textId="203B2EDE" w:rsidR="00A62E0A" w:rsidRPr="00A62E0A" w:rsidRDefault="00A62E0A" w:rsidP="00A62E0A">
      <w:pPr>
        <w:numPr>
          <w:ilvl w:val="1"/>
          <w:numId w:val="50"/>
        </w:numPr>
        <w:spacing w:line="240" w:lineRule="auto"/>
        <w:rPr>
          <w:rFonts w:eastAsia="Times New Roman"/>
        </w:rPr>
      </w:pPr>
      <w:r w:rsidRPr="00A62E0A">
        <w:rPr>
          <w:rFonts w:eastAsia="Times New Roman"/>
        </w:rPr>
        <w:t>What factors contribute to the ‘motherhood penalty’ in Australia? </w:t>
      </w:r>
    </w:p>
    <w:p w14:paraId="2081B474" w14:textId="608331CF" w:rsidR="007668B4" w:rsidRDefault="00082CFE" w:rsidP="00FA77BF">
      <w:pPr>
        <w:pStyle w:val="ListParagraph"/>
        <w:numPr>
          <w:ilvl w:val="0"/>
          <w:numId w:val="50"/>
        </w:numPr>
        <w:contextualSpacing w:val="0"/>
      </w:pPr>
      <w:r>
        <w:t xml:space="preserve">What are the </w:t>
      </w:r>
      <w:r w:rsidR="007668B4">
        <w:t xml:space="preserve">barriers to </w:t>
      </w:r>
      <w:r>
        <w:t xml:space="preserve">achieve </w:t>
      </w:r>
      <w:r w:rsidR="00F421BE">
        <w:t>greater gender equality of unpaid work</w:t>
      </w:r>
      <w:r w:rsidR="007668B4">
        <w:t xml:space="preserve"> in Australia</w:t>
      </w:r>
      <w:r w:rsidR="00F421BE">
        <w:t>?</w:t>
      </w:r>
    </w:p>
    <w:p w14:paraId="2AF48036" w14:textId="7E78A20A" w:rsidR="007668B4" w:rsidRDefault="00F421BE" w:rsidP="00FA77BF">
      <w:pPr>
        <w:pStyle w:val="ListParagraph"/>
        <w:numPr>
          <w:ilvl w:val="0"/>
          <w:numId w:val="50"/>
        </w:numPr>
        <w:contextualSpacing w:val="0"/>
      </w:pPr>
      <w:r>
        <w:t>What are some c</w:t>
      </w:r>
      <w:r w:rsidR="00265614">
        <w:t xml:space="preserve">oncrete policy options that </w:t>
      </w:r>
      <w:r w:rsidR="007668B4">
        <w:t xml:space="preserve">should </w:t>
      </w:r>
      <w:r w:rsidR="00265614">
        <w:t xml:space="preserve">be </w:t>
      </w:r>
      <w:r w:rsidR="007668B4">
        <w:t>consider</w:t>
      </w:r>
      <w:r w:rsidR="00265614">
        <w:t>ed</w:t>
      </w:r>
      <w:r w:rsidR="00D32AE5">
        <w:t xml:space="preserve"> as part of this Strategy</w:t>
      </w:r>
      <w:r w:rsidR="007668B4">
        <w:t xml:space="preserve"> </w:t>
      </w:r>
      <w:r>
        <w:t xml:space="preserve">to enable better sharing of care and unpaid work? </w:t>
      </w:r>
    </w:p>
    <w:p w14:paraId="462E26F5" w14:textId="77777777" w:rsidR="00FA77BF" w:rsidRDefault="00FA77BF" w:rsidP="00FA77BF">
      <w:pPr>
        <w:numPr>
          <w:ilvl w:val="1"/>
          <w:numId w:val="50"/>
        </w:numPr>
        <w:spacing w:line="240" w:lineRule="auto"/>
        <w:rPr>
          <w:rFonts w:eastAsia="Times New Roman"/>
        </w:rPr>
      </w:pPr>
      <w:r>
        <w:rPr>
          <w:rFonts w:eastAsia="Times New Roman"/>
        </w:rPr>
        <w:t>How do policy settings reinforce and influence gender norms and how can government encourage more equitable sharing of care responsibilities?</w:t>
      </w:r>
    </w:p>
    <w:p w14:paraId="74ED4C0C" w14:textId="2EC7B2A4" w:rsidR="00FA77BF" w:rsidRPr="00D55EA1" w:rsidRDefault="001F45DA" w:rsidP="00D55EA1">
      <w:pPr>
        <w:numPr>
          <w:ilvl w:val="1"/>
          <w:numId w:val="50"/>
        </w:numPr>
        <w:spacing w:line="240" w:lineRule="auto"/>
        <w:rPr>
          <w:rFonts w:eastAsia="Times New Roman"/>
        </w:rPr>
      </w:pPr>
      <w:r>
        <w:rPr>
          <w:rFonts w:eastAsia="Times New Roman"/>
        </w:rPr>
        <w:t>Would increase</w:t>
      </w:r>
      <w:r w:rsidR="00FA77BF">
        <w:rPr>
          <w:rFonts w:eastAsia="Times New Roman"/>
        </w:rPr>
        <w:t xml:space="preserve"> in access to flexible work arrangements help families manage paid and unpaid work? </w:t>
      </w:r>
      <w:r>
        <w:rPr>
          <w:rFonts w:eastAsia="Times New Roman"/>
        </w:rPr>
        <w:t>Could</w:t>
      </w:r>
      <w:r w:rsidR="00FA77BF" w:rsidRPr="00D55EA1">
        <w:rPr>
          <w:rFonts w:eastAsia="Times New Roman"/>
        </w:rPr>
        <w:t xml:space="preserve"> government policy</w:t>
      </w:r>
      <w:r>
        <w:rPr>
          <w:rFonts w:eastAsia="Times New Roman"/>
        </w:rPr>
        <w:t xml:space="preserve"> play a role</w:t>
      </w:r>
      <w:r w:rsidR="00FA77BF" w:rsidRPr="00D55EA1">
        <w:rPr>
          <w:rFonts w:eastAsia="Times New Roman"/>
        </w:rPr>
        <w:t xml:space="preserve"> to help promote access to flexible work arrangements?</w:t>
      </w:r>
    </w:p>
    <w:p w14:paraId="48A8164F" w14:textId="43AC09B3" w:rsidR="007668B4" w:rsidRPr="007F10FD" w:rsidRDefault="00265614" w:rsidP="00FA77BF">
      <w:pPr>
        <w:pStyle w:val="ListParagraph"/>
        <w:numPr>
          <w:ilvl w:val="0"/>
          <w:numId w:val="50"/>
        </w:numPr>
        <w:contextualSpacing w:val="0"/>
      </w:pPr>
      <w:r>
        <w:t xml:space="preserve">What will success look like and how can </w:t>
      </w:r>
      <w:r w:rsidR="00E305F1">
        <w:t>it</w:t>
      </w:r>
      <w:r>
        <w:t xml:space="preserve"> be measured</w:t>
      </w:r>
      <w:r w:rsidR="00E305F1">
        <w:t xml:space="preserve"> and evaluated</w:t>
      </w:r>
      <w:r>
        <w:t xml:space="preserve">? </w:t>
      </w:r>
    </w:p>
    <w:p w14:paraId="509611B5" w14:textId="77777777" w:rsidR="00A62E0A" w:rsidRDefault="00A62E0A">
      <w:pPr>
        <w:spacing w:after="200"/>
      </w:pPr>
      <w:r>
        <w:br w:type="page"/>
      </w:r>
    </w:p>
    <w:p w14:paraId="5B8CEBB3" w14:textId="0BD77529" w:rsidR="00BC2F65" w:rsidRDefault="00017785" w:rsidP="00E43E9C">
      <w:r>
        <w:lastRenderedPageBreak/>
        <w:t xml:space="preserve">We are mindful of the need to ensure the rich variety of lived experiences of </w:t>
      </w:r>
      <w:r w:rsidR="00E305F1">
        <w:t>people in Australia</w:t>
      </w:r>
      <w:r>
        <w:t xml:space="preserve"> are captured during this consultation process. </w:t>
      </w:r>
      <w:r w:rsidR="00BC2F65">
        <w:t>This includes hea</w:t>
      </w:r>
      <w:r w:rsidR="008158D8">
        <w:t>r</w:t>
      </w:r>
      <w:r w:rsidR="00BC2F65">
        <w:t>ing from those who:</w:t>
      </w:r>
    </w:p>
    <w:p w14:paraId="3E7D688B" w14:textId="22E8EB0F" w:rsidR="00BC2F65" w:rsidRDefault="00017785" w:rsidP="00805037">
      <w:pPr>
        <w:pStyle w:val="ListParagraph"/>
        <w:numPr>
          <w:ilvl w:val="0"/>
          <w:numId w:val="51"/>
        </w:numPr>
      </w:pPr>
      <w:r>
        <w:t>are living with disability</w:t>
      </w:r>
      <w:r w:rsidR="006943FB">
        <w:t>;</w:t>
      </w:r>
    </w:p>
    <w:p w14:paraId="710EC9E9" w14:textId="72F920CA" w:rsidR="00BC2F65" w:rsidRDefault="00017785" w:rsidP="00805037">
      <w:pPr>
        <w:pStyle w:val="ListParagraph"/>
        <w:numPr>
          <w:ilvl w:val="0"/>
          <w:numId w:val="51"/>
        </w:numPr>
      </w:pPr>
      <w:r>
        <w:t>are First Nations people</w:t>
      </w:r>
      <w:r w:rsidR="006943FB">
        <w:t>;</w:t>
      </w:r>
      <w:r>
        <w:t xml:space="preserve"> </w:t>
      </w:r>
    </w:p>
    <w:p w14:paraId="52FA0BB9" w14:textId="64AFC0E9" w:rsidR="00BC2F65" w:rsidRDefault="00017785" w:rsidP="00805037">
      <w:pPr>
        <w:pStyle w:val="ListParagraph"/>
        <w:numPr>
          <w:ilvl w:val="0"/>
          <w:numId w:val="51"/>
        </w:numPr>
      </w:pPr>
      <w:r>
        <w:t>are people who are part of the LGBTQIA</w:t>
      </w:r>
      <w:r w:rsidR="006943FB">
        <w:t>+ community;</w:t>
      </w:r>
    </w:p>
    <w:p w14:paraId="37007135" w14:textId="5E9107FF" w:rsidR="00BC2F65" w:rsidRDefault="00017785" w:rsidP="00805037">
      <w:pPr>
        <w:pStyle w:val="ListParagraph"/>
        <w:numPr>
          <w:ilvl w:val="0"/>
          <w:numId w:val="51"/>
        </w:numPr>
      </w:pPr>
      <w:r>
        <w:t xml:space="preserve">are </w:t>
      </w:r>
      <w:r w:rsidR="006A2DB2">
        <w:t>migrants and refugees</w:t>
      </w:r>
      <w:r w:rsidR="006943FB">
        <w:t>;</w:t>
      </w:r>
    </w:p>
    <w:p w14:paraId="26369A17" w14:textId="09D0AD8B" w:rsidR="00BC2F65" w:rsidRDefault="006943FB" w:rsidP="00805037">
      <w:pPr>
        <w:pStyle w:val="ListParagraph"/>
        <w:numPr>
          <w:ilvl w:val="0"/>
          <w:numId w:val="51"/>
        </w:numPr>
      </w:pPr>
      <w:r>
        <w:t>are people of colour;</w:t>
      </w:r>
    </w:p>
    <w:p w14:paraId="2F310C1E" w14:textId="77777777" w:rsidR="00BC2F65" w:rsidRDefault="00017785" w:rsidP="00805037">
      <w:pPr>
        <w:pStyle w:val="ListParagraph"/>
        <w:numPr>
          <w:ilvl w:val="0"/>
          <w:numId w:val="51"/>
        </w:numPr>
      </w:pPr>
      <w:r>
        <w:t xml:space="preserve">are living in regional and remote areas; </w:t>
      </w:r>
    </w:p>
    <w:p w14:paraId="0F909E56" w14:textId="525BC2ED" w:rsidR="00BC2F65" w:rsidRDefault="00BC2F65" w:rsidP="00805037">
      <w:pPr>
        <w:pStyle w:val="ListParagraph"/>
        <w:numPr>
          <w:ilvl w:val="0"/>
          <w:numId w:val="51"/>
        </w:numPr>
      </w:pPr>
      <w:r>
        <w:t>are of different</w:t>
      </w:r>
      <w:r w:rsidR="00017785">
        <w:t xml:space="preserve"> age</w:t>
      </w:r>
      <w:r>
        <w:t>s</w:t>
      </w:r>
      <w:r w:rsidR="00017785">
        <w:t xml:space="preserve"> and life stage</w:t>
      </w:r>
      <w:r>
        <w:t>s</w:t>
      </w:r>
      <w:r w:rsidR="00017785">
        <w:t xml:space="preserve">, education levels, migration status, </w:t>
      </w:r>
      <w:r w:rsidR="006943FB">
        <w:t xml:space="preserve">and/or </w:t>
      </w:r>
      <w:r w:rsidR="00017785">
        <w:t>socio-economic background</w:t>
      </w:r>
      <w:r w:rsidR="006943FB">
        <w:t>;</w:t>
      </w:r>
    </w:p>
    <w:p w14:paraId="3139A0F1" w14:textId="1AED22FC" w:rsidR="00805037" w:rsidRDefault="00BC2F65" w:rsidP="00805037">
      <w:pPr>
        <w:pStyle w:val="ListParagraph"/>
        <w:numPr>
          <w:ilvl w:val="0"/>
          <w:numId w:val="51"/>
        </w:numPr>
      </w:pPr>
      <w:r>
        <w:t>have</w:t>
      </w:r>
      <w:r w:rsidR="00017785">
        <w:t xml:space="preserve"> experience of traum</w:t>
      </w:r>
      <w:r w:rsidR="006943FB">
        <w:t>a;</w:t>
      </w:r>
      <w:r w:rsidR="00805037">
        <w:t xml:space="preserve"> </w:t>
      </w:r>
      <w:r w:rsidR="00017785">
        <w:t xml:space="preserve">as well as </w:t>
      </w:r>
    </w:p>
    <w:p w14:paraId="4B3FFD8A" w14:textId="03460BA6" w:rsidR="007668B4" w:rsidRDefault="00017785" w:rsidP="00805037">
      <w:pPr>
        <w:pStyle w:val="ListParagraph"/>
        <w:numPr>
          <w:ilvl w:val="0"/>
          <w:numId w:val="51"/>
        </w:numPr>
      </w:pPr>
      <w:r>
        <w:t xml:space="preserve">all other factors that may impact </w:t>
      </w:r>
      <w:r w:rsidR="009A3D23">
        <w:t>people’s</w:t>
      </w:r>
      <w:r>
        <w:t xml:space="preserve"> experience of gender equality or inequality</w:t>
      </w:r>
      <w:r w:rsidR="00BC2F65">
        <w:t xml:space="preserve">. </w:t>
      </w:r>
      <w:bookmarkEnd w:id="0"/>
    </w:p>
    <w:sectPr w:rsidR="007668B4" w:rsidSect="004009A3">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2A86" w14:textId="77777777" w:rsidR="00104B3F" w:rsidRDefault="00104B3F" w:rsidP="00F957C6">
      <w:pPr>
        <w:spacing w:after="0" w:line="240" w:lineRule="auto"/>
      </w:pPr>
      <w:r>
        <w:separator/>
      </w:r>
    </w:p>
  </w:endnote>
  <w:endnote w:type="continuationSeparator" w:id="0">
    <w:p w14:paraId="77D03243" w14:textId="77777777" w:rsidR="00104B3F" w:rsidRDefault="00104B3F" w:rsidP="00F957C6">
      <w:pPr>
        <w:spacing w:after="0" w:line="240" w:lineRule="auto"/>
      </w:pPr>
      <w:r>
        <w:continuationSeparator/>
      </w:r>
    </w:p>
  </w:endnote>
  <w:endnote w:type="continuationNotice" w:id="1">
    <w:p w14:paraId="70B448F7" w14:textId="77777777" w:rsidR="00104B3F" w:rsidRDefault="00104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6928" w14:textId="77777777" w:rsidR="00452311" w:rsidRDefault="00452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C648" w14:textId="249D31DF" w:rsidR="00411932" w:rsidRPr="00285CAF" w:rsidRDefault="00411932" w:rsidP="00D10635">
    <w:pPr>
      <w:jc w:val="center"/>
    </w:pPr>
  </w:p>
  <w:p w14:paraId="665668DC" w14:textId="3F13B926" w:rsidR="00411932" w:rsidRPr="008046D4" w:rsidRDefault="00411932" w:rsidP="00D10635">
    <w:pPr>
      <w:pStyle w:val="Header"/>
      <w:rPr>
        <w:rFonts w:ascii="Segoe UI" w:hAnsi="Segoe UI" w:cs="Segoe UI"/>
        <w:color w:val="7F7F7F" w:themeColor="text1" w:themeTint="80"/>
        <w:sz w:val="18"/>
      </w:rPr>
    </w:pPr>
    <w:r>
      <w:rPr>
        <w:color w:val="7F7F7F" w:themeColor="text1" w:themeTint="80"/>
        <w:sz w:val="18"/>
        <w:szCs w:val="18"/>
      </w:rPr>
      <w:t>PM&amp;C | Office for Women | Family and unpaid work</w:t>
    </w: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3737BE">
      <w:rPr>
        <w:rFonts w:ascii="Segoe UI" w:hAnsi="Segoe UI" w:cs="Segoe UI"/>
        <w:noProof/>
        <w:color w:val="7F7F7F" w:themeColor="text1" w:themeTint="80"/>
        <w:sz w:val="18"/>
      </w:rPr>
      <w:t>2</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D564" w14:textId="57331111" w:rsidR="00411932" w:rsidRPr="00285CAF" w:rsidRDefault="00411932" w:rsidP="002160A7">
    <w:pPr>
      <w:jc w:val="center"/>
    </w:pPr>
  </w:p>
  <w:p w14:paraId="70A5306C" w14:textId="64F30FC8" w:rsidR="00411932" w:rsidRPr="008046D4" w:rsidRDefault="00411932" w:rsidP="002160A7">
    <w:pPr>
      <w:pStyle w:val="Header"/>
      <w:rPr>
        <w:rFonts w:ascii="Segoe UI" w:hAnsi="Segoe UI" w:cs="Segoe UI"/>
        <w:color w:val="7F7F7F" w:themeColor="text1" w:themeTint="80"/>
        <w:sz w:val="18"/>
      </w:rPr>
    </w:pPr>
    <w:r>
      <w:rPr>
        <w:color w:val="7F7F7F" w:themeColor="text1" w:themeTint="80"/>
        <w:sz w:val="18"/>
        <w:szCs w:val="18"/>
      </w:rPr>
      <w:t>PM&amp;C | Office for Women | Family and unpaid work</w:t>
    </w: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3737BE">
      <w:rPr>
        <w:rFonts w:ascii="Segoe UI" w:hAnsi="Segoe UI" w:cs="Segoe UI"/>
        <w:noProof/>
        <w:color w:val="7F7F7F" w:themeColor="text1" w:themeTint="80"/>
        <w:sz w:val="18"/>
      </w:rPr>
      <w:t>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7F2A" w14:textId="77777777" w:rsidR="00104B3F" w:rsidRDefault="00104B3F" w:rsidP="00F957C6">
      <w:pPr>
        <w:spacing w:after="0" w:line="240" w:lineRule="auto"/>
      </w:pPr>
      <w:r>
        <w:separator/>
      </w:r>
    </w:p>
  </w:footnote>
  <w:footnote w:type="continuationSeparator" w:id="0">
    <w:p w14:paraId="6DCE976B" w14:textId="77777777" w:rsidR="00104B3F" w:rsidRDefault="00104B3F" w:rsidP="00F957C6">
      <w:pPr>
        <w:spacing w:after="0" w:line="240" w:lineRule="auto"/>
      </w:pPr>
      <w:r>
        <w:continuationSeparator/>
      </w:r>
    </w:p>
  </w:footnote>
  <w:footnote w:type="continuationNotice" w:id="1">
    <w:p w14:paraId="2773D7BD" w14:textId="77777777" w:rsidR="00104B3F" w:rsidRDefault="00104B3F">
      <w:pPr>
        <w:spacing w:after="0" w:line="240" w:lineRule="auto"/>
      </w:pPr>
    </w:p>
  </w:footnote>
  <w:footnote w:id="2">
    <w:p w14:paraId="01DBBC14" w14:textId="77777777" w:rsidR="00701838" w:rsidRPr="00E305F1" w:rsidRDefault="00701838" w:rsidP="00701838">
      <w:pPr>
        <w:pStyle w:val="FootnoteText"/>
        <w:rPr>
          <w:rFonts w:ascii="Segoe UI Light" w:hAnsi="Segoe UI Light" w:cs="Segoe UI Light"/>
        </w:rPr>
      </w:pPr>
      <w:r w:rsidRPr="00E305F1">
        <w:rPr>
          <w:rStyle w:val="FootnoteReference"/>
          <w:rFonts w:asciiTheme="minorHAnsi" w:eastAsiaTheme="majorEastAsia" w:hAnsiTheme="minorHAnsi" w:cstheme="minorHAnsi"/>
        </w:rPr>
        <w:footnoteRef/>
      </w:r>
      <w:r w:rsidRPr="00E305F1">
        <w:rPr>
          <w:rFonts w:asciiTheme="minorHAnsi" w:hAnsiTheme="minorHAnsi" w:cstheme="minorHAnsi"/>
        </w:rPr>
        <w:t xml:space="preserve"> CEW (Chief Executive Women) (2022) </w:t>
      </w:r>
      <w:r w:rsidRPr="00E305F1">
        <w:rPr>
          <w:rFonts w:asciiTheme="minorHAnsi" w:hAnsiTheme="minorHAnsi" w:cstheme="minorHAnsi"/>
          <w:i/>
          <w:iCs/>
        </w:rPr>
        <w:t>Addressing Australia's critical skill shortages: Unlocking women's economic</w:t>
      </w:r>
      <w:r w:rsidRPr="00E305F1">
        <w:rPr>
          <w:rFonts w:ascii="Segoe UI Light" w:hAnsi="Segoe UI Light" w:cs="Segoe UI Light"/>
          <w:i/>
          <w:iCs/>
        </w:rPr>
        <w:t xml:space="preserve"> participation, </w:t>
      </w:r>
      <w:r w:rsidRPr="00E305F1">
        <w:rPr>
          <w:rFonts w:ascii="Segoe UI Light" w:hAnsi="Segoe UI Light" w:cs="Segoe UI Light"/>
        </w:rPr>
        <w:t xml:space="preserve">Sydney and KPMG (2021) </w:t>
      </w:r>
      <w:hyperlink r:id="rId1" w:history="1">
        <w:r w:rsidRPr="00E305F1">
          <w:rPr>
            <w:rStyle w:val="Hyperlink"/>
            <w:rFonts w:ascii="Segoe UI Light" w:eastAsiaTheme="majorEastAsia" w:hAnsi="Segoe UI Light" w:cs="Segoe UI Light"/>
            <w:i/>
          </w:rPr>
          <w:t>Towards a more equal sharing of work</w:t>
        </w:r>
      </w:hyperlink>
      <w:r w:rsidRPr="00E305F1">
        <w:rPr>
          <w:rFonts w:ascii="Segoe UI Light" w:hAnsi="Segoe UI Light" w:cs="Segoe UI Light"/>
        </w:rPr>
        <w:t>, May 2021.</w:t>
      </w:r>
    </w:p>
  </w:footnote>
  <w:footnote w:id="3">
    <w:p w14:paraId="59887193" w14:textId="77777777" w:rsidR="001D009B" w:rsidRPr="00E305F1" w:rsidRDefault="001D009B" w:rsidP="001D009B">
      <w:pPr>
        <w:pStyle w:val="FootnoteText"/>
        <w:rPr>
          <w:rFonts w:asciiTheme="minorHAnsi" w:hAnsiTheme="minorHAnsi" w:cstheme="minorHAnsi"/>
        </w:rPr>
      </w:pPr>
      <w:r w:rsidRPr="00E305F1">
        <w:rPr>
          <w:rStyle w:val="FootnoteReference"/>
          <w:rFonts w:asciiTheme="minorHAnsi" w:eastAsiaTheme="majorEastAsia" w:hAnsiTheme="minorHAnsi" w:cstheme="minorHAnsi"/>
        </w:rPr>
        <w:footnoteRef/>
      </w:r>
      <w:r w:rsidRPr="00E305F1">
        <w:rPr>
          <w:rFonts w:asciiTheme="minorHAnsi" w:hAnsiTheme="minorHAnsi" w:cstheme="minorHAnsi"/>
        </w:rPr>
        <w:t xml:space="preserve"> Department of Social Services (2021) </w:t>
      </w:r>
      <w:hyperlink r:id="rId2" w:anchor="search=%22publications/tabledpapers/e9d4eb0f-4ef4-41f3-95ef-b2b7cf8c491e%22" w:history="1">
        <w:r w:rsidRPr="00E305F1">
          <w:rPr>
            <w:rStyle w:val="Hyperlink"/>
            <w:rFonts w:asciiTheme="minorHAnsi" w:eastAsiaTheme="majorEastAsia" w:hAnsiTheme="minorHAnsi" w:cstheme="minorHAnsi"/>
            <w:i/>
          </w:rPr>
          <w:t>Annual report 2020-21</w:t>
        </w:r>
      </w:hyperlink>
      <w:r w:rsidRPr="00E305F1">
        <w:rPr>
          <w:rFonts w:asciiTheme="minorHAnsi" w:hAnsiTheme="minorHAnsi" w:cstheme="minorHAnsi"/>
          <w:i/>
        </w:rPr>
        <w:t xml:space="preserve">, </w:t>
      </w:r>
      <w:r w:rsidRPr="00E305F1">
        <w:rPr>
          <w:rFonts w:asciiTheme="minorHAnsi" w:hAnsiTheme="minorHAnsi" w:cstheme="minorHAnsi"/>
        </w:rPr>
        <w:t>Canberra, pp 99–101.</w:t>
      </w:r>
    </w:p>
  </w:footnote>
  <w:footnote w:id="4">
    <w:p w14:paraId="627A03AB" w14:textId="77777777" w:rsidR="001D009B" w:rsidRPr="00E305F1" w:rsidRDefault="001D009B" w:rsidP="001D009B">
      <w:pPr>
        <w:pStyle w:val="FootnoteText"/>
        <w:rPr>
          <w:rFonts w:asciiTheme="minorHAnsi" w:hAnsiTheme="minorHAnsi" w:cstheme="minorHAnsi"/>
        </w:rPr>
      </w:pPr>
      <w:r w:rsidRPr="00E305F1">
        <w:rPr>
          <w:rStyle w:val="FootnoteReference"/>
          <w:rFonts w:asciiTheme="minorHAnsi" w:eastAsiaTheme="majorEastAsia" w:hAnsiTheme="minorHAnsi" w:cstheme="minorHAnsi"/>
        </w:rPr>
        <w:footnoteRef/>
      </w:r>
      <w:r w:rsidRPr="00E305F1">
        <w:rPr>
          <w:rFonts w:asciiTheme="minorHAnsi" w:hAnsiTheme="minorHAnsi" w:cstheme="minorHAnsi"/>
        </w:rPr>
        <w:t xml:space="preserve"> WGEA (Workplace Gender Equality Agency) (2022) </w:t>
      </w:r>
      <w:hyperlink r:id="rId3" w:history="1">
        <w:r w:rsidRPr="00E305F1">
          <w:rPr>
            <w:rStyle w:val="Hyperlink"/>
            <w:rFonts w:asciiTheme="minorHAnsi" w:eastAsiaTheme="majorEastAsia" w:hAnsiTheme="minorHAnsi" w:cstheme="minorHAnsi"/>
            <w:i/>
          </w:rPr>
          <w:t>Australia’s gender equality scorecard 2020–21</w:t>
        </w:r>
      </w:hyperlink>
      <w:r w:rsidRPr="00E305F1">
        <w:rPr>
          <w:rFonts w:asciiTheme="minorHAnsi" w:hAnsiTheme="minorHAnsi" w:cstheme="minorHAnsi"/>
          <w:i/>
        </w:rPr>
        <w:t xml:space="preserve">, </w:t>
      </w:r>
      <w:r w:rsidRPr="00E305F1">
        <w:rPr>
          <w:rFonts w:asciiTheme="minorHAnsi" w:hAnsiTheme="minorHAnsi" w:cstheme="minorHAnsi"/>
        </w:rPr>
        <w:t>Sydney, February 2022.</w:t>
      </w:r>
    </w:p>
  </w:footnote>
  <w:footnote w:id="5">
    <w:p w14:paraId="04654C60" w14:textId="5DFD6AD2" w:rsidR="00E43E9C" w:rsidRPr="00E305F1" w:rsidRDefault="00E43E9C">
      <w:pPr>
        <w:pStyle w:val="FootnoteText"/>
        <w:rPr>
          <w:rFonts w:asciiTheme="minorHAnsi" w:hAnsiTheme="minorHAnsi" w:cstheme="minorHAnsi"/>
        </w:rPr>
      </w:pPr>
      <w:r w:rsidRPr="00E305F1">
        <w:rPr>
          <w:rStyle w:val="FootnoteReference"/>
          <w:rFonts w:asciiTheme="minorHAnsi" w:hAnsiTheme="minorHAnsi" w:cstheme="minorHAnsi"/>
        </w:rPr>
        <w:footnoteRef/>
      </w:r>
      <w:r w:rsidRPr="00E305F1">
        <w:rPr>
          <w:rFonts w:asciiTheme="minorHAnsi" w:hAnsiTheme="minorHAnsi" w:cstheme="minorHAnsi"/>
        </w:rPr>
        <w:t xml:space="preserve"> Bahar E, Deutscher N, Bradshaw N and Montaigne M (2022) </w:t>
      </w:r>
      <w:hyperlink r:id="rId4" w:history="1">
        <w:r w:rsidRPr="00E305F1">
          <w:rPr>
            <w:rStyle w:val="Hyperlink"/>
            <w:rFonts w:asciiTheme="minorHAnsi" w:hAnsiTheme="minorHAnsi" w:cstheme="minorHAnsi"/>
            <w:i/>
          </w:rPr>
          <w:t>Children and the Gender Earnings Gap</w:t>
        </w:r>
      </w:hyperlink>
      <w:r w:rsidRPr="00E305F1">
        <w:rPr>
          <w:rFonts w:asciiTheme="minorHAnsi" w:hAnsiTheme="minorHAnsi" w:cstheme="minorHAnsi"/>
          <w:i/>
        </w:rPr>
        <w:t xml:space="preserve">, </w:t>
      </w:r>
      <w:r w:rsidRPr="00E305F1">
        <w:rPr>
          <w:rFonts w:asciiTheme="minorHAnsi" w:hAnsiTheme="minorHAnsi" w:cstheme="minorHAnsi"/>
        </w:rPr>
        <w:t>Treasury Round Up, October 2022.</w:t>
      </w:r>
    </w:p>
  </w:footnote>
  <w:footnote w:id="6">
    <w:p w14:paraId="4C1538B9" w14:textId="29A661A4" w:rsidR="00B77A6C" w:rsidRPr="000A6AF8" w:rsidRDefault="00B77A6C" w:rsidP="00B77A6C">
      <w:pPr>
        <w:pStyle w:val="FootnoteText"/>
        <w:rPr>
          <w:rFonts w:cstheme="minorHAnsi"/>
        </w:rPr>
      </w:pPr>
      <w:r w:rsidRPr="00E305F1">
        <w:rPr>
          <w:rStyle w:val="FootnoteReference"/>
          <w:rFonts w:asciiTheme="minorHAnsi" w:eastAsiaTheme="majorEastAsia" w:hAnsiTheme="minorHAnsi" w:cstheme="minorHAnsi"/>
        </w:rPr>
        <w:footnoteRef/>
      </w:r>
      <w:r w:rsidRPr="00E305F1">
        <w:rPr>
          <w:rFonts w:asciiTheme="minorHAnsi" w:hAnsiTheme="minorHAnsi" w:cstheme="minorHAnsi"/>
        </w:rPr>
        <w:t xml:space="preserve"> </w:t>
      </w:r>
      <w:r w:rsidR="00FB6C55" w:rsidRPr="00E305F1">
        <w:rPr>
          <w:rFonts w:asciiTheme="minorHAnsi" w:hAnsiTheme="minorHAnsi" w:cstheme="minorHAnsi"/>
        </w:rPr>
        <w:t xml:space="preserve">KPMG (2022) </w:t>
      </w:r>
      <w:r w:rsidR="00FB6C55" w:rsidRPr="00E305F1">
        <w:rPr>
          <w:rFonts w:asciiTheme="minorHAnsi" w:hAnsiTheme="minorHAnsi" w:cstheme="minorHAnsi"/>
          <w:i/>
        </w:rPr>
        <w:t>She’s Price(d)less: The economics of the gender pay gap,</w:t>
      </w:r>
      <w:r w:rsidR="00FB6C55" w:rsidRPr="00E305F1">
        <w:rPr>
          <w:rFonts w:asciiTheme="minorHAnsi" w:hAnsiTheme="minorHAnsi" w:cstheme="minorHAnsi"/>
        </w:rPr>
        <w:t xml:space="preserve"> A report for Diversity Council Australia and WGEA, Australia, p 38.</w:t>
      </w:r>
    </w:p>
  </w:footnote>
  <w:footnote w:id="7">
    <w:p w14:paraId="09E59261" w14:textId="77777777" w:rsidR="00FB6C55" w:rsidRPr="00E305F1" w:rsidRDefault="00FB6C55" w:rsidP="00FB6C55">
      <w:pPr>
        <w:pStyle w:val="FootnoteText"/>
        <w:rPr>
          <w:rFonts w:ascii="Segoe UI Light" w:hAnsi="Segoe UI Light" w:cs="Segoe UI Light"/>
        </w:rPr>
      </w:pPr>
      <w:r w:rsidRPr="00E305F1">
        <w:rPr>
          <w:rStyle w:val="FootnoteReference"/>
          <w:rFonts w:ascii="Segoe UI Light" w:eastAsiaTheme="majorEastAsia" w:hAnsi="Segoe UI Light" w:cs="Segoe UI Light"/>
        </w:rPr>
        <w:footnoteRef/>
      </w:r>
      <w:r w:rsidRPr="00E305F1">
        <w:rPr>
          <w:rFonts w:ascii="Segoe UI Light" w:hAnsi="Segoe UI Light" w:cs="Segoe UI Light"/>
        </w:rPr>
        <w:t xml:space="preserve"> Australian Institute of Health and Welfare (AIHW) (2021) </w:t>
      </w:r>
      <w:hyperlink r:id="rId5" w:history="1">
        <w:r w:rsidRPr="00E305F1">
          <w:rPr>
            <w:rStyle w:val="Hyperlink"/>
            <w:rFonts w:ascii="Segoe UI Light" w:eastAsiaTheme="majorEastAsia" w:hAnsi="Segoe UI Light" w:cs="Segoe UI Light"/>
            <w:i/>
          </w:rPr>
          <w:t>Informal carers,</w:t>
        </w:r>
      </w:hyperlink>
      <w:r w:rsidRPr="00E305F1">
        <w:rPr>
          <w:rFonts w:ascii="Segoe UI Light" w:hAnsi="Segoe UI Light" w:cs="Segoe UI Light"/>
          <w:i/>
        </w:rPr>
        <w:t xml:space="preserve"> </w:t>
      </w:r>
      <w:r w:rsidRPr="00E305F1">
        <w:rPr>
          <w:rFonts w:ascii="Segoe UI Light" w:hAnsi="Segoe UI Light" w:cs="Segoe UI Light"/>
        </w:rPr>
        <w:t>Australia Welfare’s 2021, accessed on 11 October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DD63" w14:textId="77777777" w:rsidR="00452311" w:rsidRDefault="00452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ACCC" w14:textId="0200A3B1" w:rsidR="00411932" w:rsidRPr="00D10635" w:rsidRDefault="00411932" w:rsidP="002160A7">
    <w:pPr>
      <w:jc w:val="center"/>
    </w:pPr>
    <w:r w:rsidRPr="002160A7">
      <w:rPr>
        <w:rStyle w:val="CLASSIFICATIONChar"/>
        <w:noProof/>
        <w:lang w:eastAsia="en-AU"/>
      </w:rPr>
      <mc:AlternateContent>
        <mc:Choice Requires="wps">
          <w:drawing>
            <wp:anchor distT="0" distB="0" distL="114300" distR="114300" simplePos="0" relativeHeight="251658241" behindDoc="1" locked="0" layoutInCell="1" allowOverlap="1" wp14:anchorId="701DB530" wp14:editId="3EBCEEBE">
              <wp:simplePos x="0" y="0"/>
              <wp:positionH relativeFrom="column">
                <wp:posOffset>6221730</wp:posOffset>
              </wp:positionH>
              <wp:positionV relativeFrom="page">
                <wp:posOffset>691515</wp:posOffset>
              </wp:positionV>
              <wp:extent cx="60840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6852C0" id="Straight Connector 3"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U1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6qLa6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65B1E" w14:textId="77777777" w:rsidR="00411932" w:rsidRDefault="00411932"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58240" behindDoc="1" locked="0" layoutInCell="1" allowOverlap="1" wp14:anchorId="711FD60C" wp14:editId="6D638131">
          <wp:simplePos x="0" y="0"/>
          <wp:positionH relativeFrom="column">
            <wp:posOffset>4751640</wp:posOffset>
          </wp:positionH>
          <wp:positionV relativeFrom="paragraph">
            <wp:posOffset>-493639</wp:posOffset>
          </wp:positionV>
          <wp:extent cx="1473795" cy="1789544"/>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mc:AlternateContent>
        <mc:Choice Requires="wps">
          <w:drawing>
            <wp:anchor distT="0" distB="0" distL="114300" distR="114300" simplePos="0" relativeHeight="251658243" behindDoc="1" locked="0" layoutInCell="1" allowOverlap="1" wp14:anchorId="1D60384D" wp14:editId="0F5CB36C">
              <wp:simplePos x="0" y="0"/>
              <wp:positionH relativeFrom="column">
                <wp:posOffset>6221730</wp:posOffset>
              </wp:positionH>
              <wp:positionV relativeFrom="page">
                <wp:posOffset>691515</wp:posOffset>
              </wp:positionV>
              <wp:extent cx="608400" cy="0"/>
              <wp:effectExtent l="0" t="0" r="20320" b="19050"/>
              <wp:wrapNone/>
              <wp:docPr id="192" name="Straight Connector 19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BB16A" id="Straight Connector 192" o:spid="_x0000_s1026" style="position:absolute;z-index:-25165823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CtgEAALo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t1KiqA8D+kh&#10;k7L7MYsthsAtRBLFy72aYuqYsg07ulgp7qgIPxry5cuSxLH29zT3F45ZaH68aW/ftjwFfXU1z7xI&#10;KX8A9KJceulsKMpVpw4fU+ZcDL1C2Ch1nDPXWz45KGAXvoBhNZxrWdl1j2DrSBwUb8DwtCwqOFZF&#10;Foqxzs2k9u+kC7bQoO7WvxJndM2IIc9EbwPSn7Lm47VUc8ZfVZ+1FtmPOJzqHGo7eEGqsssylw38&#10;2a70519u8wM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A6+HaC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sidRPr="002160A7">
      <w:rPr>
        <w:noProof/>
        <w:lang w:eastAsia="en-AU"/>
      </w:rPr>
      <w:drawing>
        <wp:anchor distT="0" distB="0" distL="114300" distR="114300" simplePos="0" relativeHeight="251658242" behindDoc="1" locked="0" layoutInCell="1" allowOverlap="1" wp14:anchorId="725BFAB7" wp14:editId="4DAE3F6E">
          <wp:simplePos x="0" y="0"/>
          <wp:positionH relativeFrom="column">
            <wp:posOffset>-313055</wp:posOffset>
          </wp:positionH>
          <wp:positionV relativeFrom="page">
            <wp:posOffset>183515</wp:posOffset>
          </wp:positionV>
          <wp:extent cx="3600000" cy="806400"/>
          <wp:effectExtent l="0" t="0" r="0" b="0"/>
          <wp:wrapNone/>
          <wp:docPr id="1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24E43" w14:textId="77777777" w:rsidR="00411932" w:rsidRDefault="00411932" w:rsidP="00303C55">
    <w:pPr>
      <w:pStyle w:val="Header"/>
      <w:jc w:val="center"/>
      <w:rPr>
        <w:rStyle w:val="CLASSIFICATIONChar"/>
      </w:rPr>
    </w:pPr>
  </w:p>
  <w:p w14:paraId="72313B4D" w14:textId="77777777" w:rsidR="00411932" w:rsidRDefault="00411932" w:rsidP="00303C55">
    <w:pPr>
      <w:pStyle w:val="Header"/>
      <w:jc w:val="center"/>
      <w:rPr>
        <w:rStyle w:val="CLASSIFICATIONChar"/>
      </w:rPr>
    </w:pPr>
  </w:p>
  <w:p w14:paraId="65BCE671" w14:textId="77777777" w:rsidR="00411932" w:rsidRDefault="00411932" w:rsidP="00303C55">
    <w:pPr>
      <w:pStyle w:val="Header"/>
      <w:jc w:val="center"/>
      <w:rPr>
        <w:rStyle w:val="CLASSIFICATIONChar"/>
      </w:rPr>
    </w:pPr>
  </w:p>
  <w:p w14:paraId="1AE1656E" w14:textId="5C68E321" w:rsidR="00411932" w:rsidRDefault="00411932" w:rsidP="002160A7">
    <w:pPr>
      <w:pStyle w:val="CLASSIFICATION"/>
    </w:pPr>
  </w:p>
  <w:p w14:paraId="53FCE169" w14:textId="77777777" w:rsidR="00411932" w:rsidRPr="002160A7" w:rsidRDefault="00411932"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7339"/>
    <w:multiLevelType w:val="hybridMultilevel"/>
    <w:tmpl w:val="4A04F1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00B42A50"/>
    <w:multiLevelType w:val="hybridMultilevel"/>
    <w:tmpl w:val="DA7E98D4"/>
    <w:lvl w:ilvl="0" w:tplc="35264096">
      <w:start w:val="1"/>
      <w:numFmt w:val="bullet"/>
      <w:lvlText w:val="-"/>
      <w:lvlJc w:val="left"/>
      <w:pPr>
        <w:ind w:left="1080" w:hanging="360"/>
      </w:pPr>
      <w:rPr>
        <w:rFonts w:ascii="Segoe UI Light" w:eastAsiaTheme="minorEastAsia" w:hAnsi="Segoe UI Light" w:cs="Segoe UI Light"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2" w15:restartNumberingAfterBreak="0">
    <w:nsid w:val="043F1F43"/>
    <w:multiLevelType w:val="hybridMultilevel"/>
    <w:tmpl w:val="F1A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943E6C"/>
    <w:multiLevelType w:val="hybridMultilevel"/>
    <w:tmpl w:val="FBFA65D0"/>
    <w:lvl w:ilvl="0" w:tplc="04660A8E">
      <w:numFmt w:val="bullet"/>
      <w:lvlText w:val="-"/>
      <w:lvlJc w:val="left"/>
      <w:pPr>
        <w:ind w:left="502" w:hanging="360"/>
      </w:pPr>
      <w:rPr>
        <w:rFonts w:ascii="Segoe UI Light" w:eastAsiaTheme="minorEastAsia"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014CCD"/>
    <w:multiLevelType w:val="hybridMultilevel"/>
    <w:tmpl w:val="72DE1CAA"/>
    <w:lvl w:ilvl="0" w:tplc="1CB0EE9A">
      <w:start w:val="1"/>
      <w:numFmt w:val="bullet"/>
      <w:pStyle w:val="BOXBulletedList"/>
      <w:lvlText w:val=""/>
      <w:lvlJc w:val="left"/>
      <w:pPr>
        <w:ind w:left="641" w:hanging="284"/>
      </w:pPr>
      <w:rPr>
        <w:rFonts w:ascii="Symbol" w:hAnsi="Symbol" w:hint="default"/>
      </w:rPr>
    </w:lvl>
    <w:lvl w:ilvl="1" w:tplc="AFD06412">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12B02366"/>
    <w:multiLevelType w:val="hybridMultilevel"/>
    <w:tmpl w:val="2A685236"/>
    <w:lvl w:ilvl="0" w:tplc="04660A8E">
      <w:numFmt w:val="bullet"/>
      <w:lvlText w:val="-"/>
      <w:lvlJc w:val="left"/>
      <w:pPr>
        <w:ind w:left="502" w:hanging="360"/>
      </w:pPr>
      <w:rPr>
        <w:rFonts w:ascii="Segoe UI Light" w:eastAsiaTheme="minorEastAsia" w:hAnsi="Segoe UI Light" w:cs="Segoe UI Light"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9" w15:restartNumberingAfterBreak="0">
    <w:nsid w:val="16C06672"/>
    <w:multiLevelType w:val="hybridMultilevel"/>
    <w:tmpl w:val="2FBA3BF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FD4221"/>
    <w:multiLevelType w:val="hybridMultilevel"/>
    <w:tmpl w:val="5CF2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27854A54"/>
    <w:multiLevelType w:val="hybridMultilevel"/>
    <w:tmpl w:val="EF482054"/>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4" w15:restartNumberingAfterBreak="0">
    <w:nsid w:val="30D349CF"/>
    <w:multiLevelType w:val="hybridMultilevel"/>
    <w:tmpl w:val="F050AC82"/>
    <w:lvl w:ilvl="0" w:tplc="9138B85E">
      <w:start w:val="1"/>
      <w:numFmt w:val="bullet"/>
      <w:lvlText w:val=""/>
      <w:lvlJc w:val="left"/>
      <w:pPr>
        <w:ind w:left="720" w:hanging="360"/>
      </w:pPr>
      <w:rPr>
        <w:rFonts w:ascii="Symbol" w:hAnsi="Symbol" w:hint="default"/>
        <w:sz w:val="20"/>
      </w:rPr>
    </w:lvl>
    <w:lvl w:ilvl="1" w:tplc="03B82C02">
      <w:start w:val="1"/>
      <w:numFmt w:val="bullet"/>
      <w:lvlText w:val="o"/>
      <w:lvlJc w:val="left"/>
      <w:pPr>
        <w:ind w:left="1440" w:hanging="360"/>
      </w:pPr>
      <w:rPr>
        <w:rFonts w:ascii="Courier New" w:hAnsi="Courier New" w:cs="Courier New" w:hint="default"/>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282472"/>
    <w:multiLevelType w:val="hybridMultilevel"/>
    <w:tmpl w:val="F050E690"/>
    <w:lvl w:ilvl="0" w:tplc="8992285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40B22B27"/>
    <w:multiLevelType w:val="hybridMultilevel"/>
    <w:tmpl w:val="6260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0370774"/>
    <w:multiLevelType w:val="hybridMultilevel"/>
    <w:tmpl w:val="17CA24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F327CB"/>
    <w:multiLevelType w:val="hybridMultilevel"/>
    <w:tmpl w:val="529C8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3A2C72"/>
    <w:multiLevelType w:val="hybridMultilevel"/>
    <w:tmpl w:val="7CE2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3C7E9D"/>
    <w:multiLevelType w:val="hybridMultilevel"/>
    <w:tmpl w:val="CC10FCDC"/>
    <w:lvl w:ilvl="0" w:tplc="72DE269E">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AA6661"/>
    <w:multiLevelType w:val="hybridMultilevel"/>
    <w:tmpl w:val="3754F9D8"/>
    <w:lvl w:ilvl="0" w:tplc="35264096">
      <w:start w:val="1"/>
      <w:numFmt w:val="bullet"/>
      <w:lvlText w:val="-"/>
      <w:lvlJc w:val="left"/>
      <w:pPr>
        <w:ind w:left="944" w:hanging="360"/>
      </w:pPr>
      <w:rPr>
        <w:rFonts w:ascii="Segoe UI Light" w:eastAsiaTheme="minorEastAsia" w:hAnsi="Segoe UI Light" w:cs="Segoe UI Light" w:hint="default"/>
      </w:rPr>
    </w:lvl>
    <w:lvl w:ilvl="1" w:tplc="0C090003" w:tentative="1">
      <w:start w:val="1"/>
      <w:numFmt w:val="bullet"/>
      <w:lvlText w:val="o"/>
      <w:lvlJc w:val="left"/>
      <w:pPr>
        <w:ind w:left="1664" w:hanging="360"/>
      </w:pPr>
      <w:rPr>
        <w:rFonts w:ascii="Courier New" w:hAnsi="Courier New" w:cs="Courier New" w:hint="default"/>
      </w:rPr>
    </w:lvl>
    <w:lvl w:ilvl="2" w:tplc="0C090005" w:tentative="1">
      <w:start w:val="1"/>
      <w:numFmt w:val="bullet"/>
      <w:lvlText w:val=""/>
      <w:lvlJc w:val="left"/>
      <w:pPr>
        <w:ind w:left="2384" w:hanging="360"/>
      </w:pPr>
      <w:rPr>
        <w:rFonts w:ascii="Wingdings" w:hAnsi="Wingdings" w:hint="default"/>
      </w:rPr>
    </w:lvl>
    <w:lvl w:ilvl="3" w:tplc="0C090001" w:tentative="1">
      <w:start w:val="1"/>
      <w:numFmt w:val="bullet"/>
      <w:lvlText w:val=""/>
      <w:lvlJc w:val="left"/>
      <w:pPr>
        <w:ind w:left="3104" w:hanging="360"/>
      </w:pPr>
      <w:rPr>
        <w:rFonts w:ascii="Symbol" w:hAnsi="Symbol" w:hint="default"/>
      </w:rPr>
    </w:lvl>
    <w:lvl w:ilvl="4" w:tplc="0C090003" w:tentative="1">
      <w:start w:val="1"/>
      <w:numFmt w:val="bullet"/>
      <w:lvlText w:val="o"/>
      <w:lvlJc w:val="left"/>
      <w:pPr>
        <w:ind w:left="3824" w:hanging="360"/>
      </w:pPr>
      <w:rPr>
        <w:rFonts w:ascii="Courier New" w:hAnsi="Courier New" w:cs="Courier New" w:hint="default"/>
      </w:rPr>
    </w:lvl>
    <w:lvl w:ilvl="5" w:tplc="0C090005" w:tentative="1">
      <w:start w:val="1"/>
      <w:numFmt w:val="bullet"/>
      <w:lvlText w:val=""/>
      <w:lvlJc w:val="left"/>
      <w:pPr>
        <w:ind w:left="4544" w:hanging="360"/>
      </w:pPr>
      <w:rPr>
        <w:rFonts w:ascii="Wingdings" w:hAnsi="Wingdings" w:hint="default"/>
      </w:rPr>
    </w:lvl>
    <w:lvl w:ilvl="6" w:tplc="0C090001" w:tentative="1">
      <w:start w:val="1"/>
      <w:numFmt w:val="bullet"/>
      <w:lvlText w:val=""/>
      <w:lvlJc w:val="left"/>
      <w:pPr>
        <w:ind w:left="5264" w:hanging="360"/>
      </w:pPr>
      <w:rPr>
        <w:rFonts w:ascii="Symbol" w:hAnsi="Symbol" w:hint="default"/>
      </w:rPr>
    </w:lvl>
    <w:lvl w:ilvl="7" w:tplc="0C090003" w:tentative="1">
      <w:start w:val="1"/>
      <w:numFmt w:val="bullet"/>
      <w:lvlText w:val="o"/>
      <w:lvlJc w:val="left"/>
      <w:pPr>
        <w:ind w:left="5984" w:hanging="360"/>
      </w:pPr>
      <w:rPr>
        <w:rFonts w:ascii="Courier New" w:hAnsi="Courier New" w:cs="Courier New" w:hint="default"/>
      </w:rPr>
    </w:lvl>
    <w:lvl w:ilvl="8" w:tplc="0C090005" w:tentative="1">
      <w:start w:val="1"/>
      <w:numFmt w:val="bullet"/>
      <w:lvlText w:val=""/>
      <w:lvlJc w:val="left"/>
      <w:pPr>
        <w:ind w:left="6704" w:hanging="360"/>
      </w:pPr>
      <w:rPr>
        <w:rFonts w:ascii="Wingdings" w:hAnsi="Wingdings" w:hint="default"/>
      </w:rPr>
    </w:lvl>
  </w:abstractNum>
  <w:abstractNum w:abstractNumId="36" w15:restartNumberingAfterBreak="0">
    <w:nsid w:val="73CB12E4"/>
    <w:multiLevelType w:val="hybridMultilevel"/>
    <w:tmpl w:val="F58A5448"/>
    <w:lvl w:ilvl="0" w:tplc="A98C157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845427"/>
    <w:multiLevelType w:val="hybridMultilevel"/>
    <w:tmpl w:val="F94A2B26"/>
    <w:lvl w:ilvl="0" w:tplc="411C410C">
      <w:start w:val="1"/>
      <w:numFmt w:val="bullet"/>
      <w:lvlText w:val=""/>
      <w:lvlJc w:val="left"/>
      <w:pPr>
        <w:ind w:left="720" w:hanging="360"/>
      </w:pPr>
      <w:rPr>
        <w:rFonts w:ascii="Symbol" w:hAnsi="Symbol" w:hint="default"/>
        <w:sz w:val="22"/>
      </w:rPr>
    </w:lvl>
    <w:lvl w:ilvl="1" w:tplc="ADB209B2">
      <w:start w:val="1"/>
      <w:numFmt w:val="bullet"/>
      <w:lvlText w:val="o"/>
      <w:lvlJc w:val="left"/>
      <w:pPr>
        <w:ind w:left="1440" w:hanging="360"/>
      </w:pPr>
      <w:rPr>
        <w:rFonts w:ascii="Courier New"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34"/>
  </w:num>
  <w:num w:numId="14">
    <w:abstractNumId w:val="23"/>
  </w:num>
  <w:num w:numId="15">
    <w:abstractNumId w:val="23"/>
    <w:lvlOverride w:ilvl="0">
      <w:startOverride w:val="1"/>
    </w:lvlOverride>
  </w:num>
  <w:num w:numId="16">
    <w:abstractNumId w:val="23"/>
    <w:lvlOverride w:ilvl="0">
      <w:startOverride w:val="1"/>
    </w:lvlOverride>
  </w:num>
  <w:num w:numId="17">
    <w:abstractNumId w:val="23"/>
    <w:lvlOverride w:ilvl="0">
      <w:startOverride w:val="1"/>
    </w:lvlOverride>
  </w:num>
  <w:num w:numId="18">
    <w:abstractNumId w:val="23"/>
    <w:lvlOverride w:ilvl="0">
      <w:startOverride w:val="1"/>
    </w:lvlOverride>
  </w:num>
  <w:num w:numId="19">
    <w:abstractNumId w:val="28"/>
  </w:num>
  <w:num w:numId="20">
    <w:abstractNumId w:val="28"/>
    <w:lvlOverride w:ilvl="0">
      <w:startOverride w:val="1"/>
    </w:lvlOverride>
  </w:num>
  <w:num w:numId="21">
    <w:abstractNumId w:val="37"/>
  </w:num>
  <w:num w:numId="22">
    <w:abstractNumId w:val="32"/>
  </w:num>
  <w:num w:numId="23">
    <w:abstractNumId w:val="15"/>
    <w:lvlOverride w:ilvl="0">
      <w:startOverride w:val="1"/>
    </w:lvlOverride>
  </w:num>
  <w:num w:numId="24">
    <w:abstractNumId w:val="37"/>
    <w:lvlOverride w:ilvl="0">
      <w:startOverride w:val="1"/>
    </w:lvlOverride>
  </w:num>
  <w:num w:numId="25">
    <w:abstractNumId w:val="32"/>
    <w:lvlOverride w:ilvl="0">
      <w:startOverride w:val="1"/>
    </w:lvlOverride>
  </w:num>
  <w:num w:numId="26">
    <w:abstractNumId w:val="32"/>
    <w:lvlOverride w:ilvl="0">
      <w:startOverride w:val="1"/>
    </w:lvlOverride>
  </w:num>
  <w:num w:numId="27">
    <w:abstractNumId w:val="20"/>
  </w:num>
  <w:num w:numId="28">
    <w:abstractNumId w:val="27"/>
  </w:num>
  <w:num w:numId="29">
    <w:abstractNumId w:val="18"/>
  </w:num>
  <w:num w:numId="30">
    <w:abstractNumId w:val="22"/>
  </w:num>
  <w:num w:numId="31">
    <w:abstractNumId w:val="16"/>
  </w:num>
  <w:num w:numId="32">
    <w:abstractNumId w:val="37"/>
    <w:lvlOverride w:ilvl="0">
      <w:startOverride w:val="1"/>
    </w:lvlOverride>
  </w:num>
  <w:num w:numId="33">
    <w:abstractNumId w:val="37"/>
    <w:lvlOverride w:ilvl="0">
      <w:startOverride w:val="1"/>
    </w:lvlOverride>
  </w:num>
  <w:num w:numId="34">
    <w:abstractNumId w:val="37"/>
    <w:lvlOverride w:ilvl="0">
      <w:startOverride w:val="1"/>
    </w:lvlOverride>
  </w:num>
  <w:num w:numId="35">
    <w:abstractNumId w:val="38"/>
  </w:num>
  <w:num w:numId="36">
    <w:abstractNumId w:val="35"/>
  </w:num>
  <w:num w:numId="37">
    <w:abstractNumId w:val="11"/>
  </w:num>
  <w:num w:numId="38">
    <w:abstractNumId w:val="37"/>
    <w:lvlOverride w:ilvl="0">
      <w:startOverride w:val="1"/>
    </w:lvlOverride>
  </w:num>
  <w:num w:numId="39">
    <w:abstractNumId w:val="31"/>
  </w:num>
  <w:num w:numId="40">
    <w:abstractNumId w:val="10"/>
  </w:num>
  <w:num w:numId="41">
    <w:abstractNumId w:val="17"/>
  </w:num>
  <w:num w:numId="42">
    <w:abstractNumId w:val="25"/>
  </w:num>
  <w:num w:numId="43">
    <w:abstractNumId w:val="21"/>
  </w:num>
  <w:num w:numId="44">
    <w:abstractNumId w:val="13"/>
  </w:num>
  <w:num w:numId="45">
    <w:abstractNumId w:val="19"/>
  </w:num>
  <w:num w:numId="46">
    <w:abstractNumId w:val="24"/>
  </w:num>
  <w:num w:numId="47">
    <w:abstractNumId w:val="29"/>
  </w:num>
  <w:num w:numId="48">
    <w:abstractNumId w:val="30"/>
  </w:num>
  <w:num w:numId="49">
    <w:abstractNumId w:val="12"/>
  </w:num>
  <w:num w:numId="50">
    <w:abstractNumId w:val="33"/>
  </w:num>
  <w:num w:numId="51">
    <w:abstractNumId w:val="26"/>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8"/>
    <w:rsid w:val="00002A56"/>
    <w:rsid w:val="000042F2"/>
    <w:rsid w:val="00017785"/>
    <w:rsid w:val="00027038"/>
    <w:rsid w:val="0003154E"/>
    <w:rsid w:val="00034020"/>
    <w:rsid w:val="00037513"/>
    <w:rsid w:val="00042CF9"/>
    <w:rsid w:val="0006627F"/>
    <w:rsid w:val="00082CFE"/>
    <w:rsid w:val="000A0004"/>
    <w:rsid w:val="000A0705"/>
    <w:rsid w:val="000B3417"/>
    <w:rsid w:val="000D749D"/>
    <w:rsid w:val="00104B3F"/>
    <w:rsid w:val="00117A77"/>
    <w:rsid w:val="00125C71"/>
    <w:rsid w:val="00143FB3"/>
    <w:rsid w:val="00154F19"/>
    <w:rsid w:val="001563EE"/>
    <w:rsid w:val="001578AC"/>
    <w:rsid w:val="00184F42"/>
    <w:rsid w:val="001D009B"/>
    <w:rsid w:val="001E3136"/>
    <w:rsid w:val="001F45DA"/>
    <w:rsid w:val="001F52D8"/>
    <w:rsid w:val="001F7D18"/>
    <w:rsid w:val="002160A7"/>
    <w:rsid w:val="00220DDA"/>
    <w:rsid w:val="00227DB5"/>
    <w:rsid w:val="00233A0B"/>
    <w:rsid w:val="0023462D"/>
    <w:rsid w:val="002572BC"/>
    <w:rsid w:val="00263586"/>
    <w:rsid w:val="00265614"/>
    <w:rsid w:val="00266CCC"/>
    <w:rsid w:val="002738BF"/>
    <w:rsid w:val="00274D42"/>
    <w:rsid w:val="002754BC"/>
    <w:rsid w:val="00285CAF"/>
    <w:rsid w:val="002871FE"/>
    <w:rsid w:val="002A0F54"/>
    <w:rsid w:val="002B0C2C"/>
    <w:rsid w:val="002B661A"/>
    <w:rsid w:val="002C7A05"/>
    <w:rsid w:val="002D3BA6"/>
    <w:rsid w:val="002D6B3D"/>
    <w:rsid w:val="002E2FFD"/>
    <w:rsid w:val="002F5069"/>
    <w:rsid w:val="00303C55"/>
    <w:rsid w:val="00311C2D"/>
    <w:rsid w:val="00344F6B"/>
    <w:rsid w:val="003500FD"/>
    <w:rsid w:val="00353E5E"/>
    <w:rsid w:val="00355267"/>
    <w:rsid w:val="003737BE"/>
    <w:rsid w:val="00374D2A"/>
    <w:rsid w:val="00385BD5"/>
    <w:rsid w:val="003920A1"/>
    <w:rsid w:val="003A0452"/>
    <w:rsid w:val="003D676D"/>
    <w:rsid w:val="003F23E9"/>
    <w:rsid w:val="004009A3"/>
    <w:rsid w:val="00403F2F"/>
    <w:rsid w:val="00411932"/>
    <w:rsid w:val="00431FF9"/>
    <w:rsid w:val="00452311"/>
    <w:rsid w:val="00467470"/>
    <w:rsid w:val="004B2C90"/>
    <w:rsid w:val="004B61C4"/>
    <w:rsid w:val="004D5E84"/>
    <w:rsid w:val="004F4C4F"/>
    <w:rsid w:val="005226B9"/>
    <w:rsid w:val="00560B58"/>
    <w:rsid w:val="00591288"/>
    <w:rsid w:val="005917FD"/>
    <w:rsid w:val="005A4AA1"/>
    <w:rsid w:val="005B3E98"/>
    <w:rsid w:val="005B5E57"/>
    <w:rsid w:val="005C6790"/>
    <w:rsid w:val="005D4706"/>
    <w:rsid w:val="00621EA3"/>
    <w:rsid w:val="0064343A"/>
    <w:rsid w:val="00660F08"/>
    <w:rsid w:val="00684302"/>
    <w:rsid w:val="006943FB"/>
    <w:rsid w:val="006A008F"/>
    <w:rsid w:val="006A09BD"/>
    <w:rsid w:val="006A2DB2"/>
    <w:rsid w:val="006A53DB"/>
    <w:rsid w:val="006A5AA6"/>
    <w:rsid w:val="006D52CB"/>
    <w:rsid w:val="006D567B"/>
    <w:rsid w:val="006E0CD2"/>
    <w:rsid w:val="006E170D"/>
    <w:rsid w:val="00701838"/>
    <w:rsid w:val="007134B6"/>
    <w:rsid w:val="007204A9"/>
    <w:rsid w:val="00756929"/>
    <w:rsid w:val="007579AA"/>
    <w:rsid w:val="007668B4"/>
    <w:rsid w:val="00774646"/>
    <w:rsid w:val="00781695"/>
    <w:rsid w:val="007A5E17"/>
    <w:rsid w:val="007B5F75"/>
    <w:rsid w:val="007C0935"/>
    <w:rsid w:val="008046D4"/>
    <w:rsid w:val="00805037"/>
    <w:rsid w:val="0081588A"/>
    <w:rsid w:val="008158D8"/>
    <w:rsid w:val="00833792"/>
    <w:rsid w:val="00835741"/>
    <w:rsid w:val="008403E7"/>
    <w:rsid w:val="00847F53"/>
    <w:rsid w:val="00856B39"/>
    <w:rsid w:val="008A0614"/>
    <w:rsid w:val="008A6CBA"/>
    <w:rsid w:val="008B5B8C"/>
    <w:rsid w:val="008C47A1"/>
    <w:rsid w:val="008D6B9E"/>
    <w:rsid w:val="008E1024"/>
    <w:rsid w:val="008F0A7D"/>
    <w:rsid w:val="0090297B"/>
    <w:rsid w:val="00913611"/>
    <w:rsid w:val="00913ED0"/>
    <w:rsid w:val="00925F7A"/>
    <w:rsid w:val="00927650"/>
    <w:rsid w:val="00942CB6"/>
    <w:rsid w:val="00942CE9"/>
    <w:rsid w:val="00950207"/>
    <w:rsid w:val="00954FF2"/>
    <w:rsid w:val="00962EE8"/>
    <w:rsid w:val="00976EE9"/>
    <w:rsid w:val="00977481"/>
    <w:rsid w:val="00987E09"/>
    <w:rsid w:val="009A3D23"/>
    <w:rsid w:val="009A6D9C"/>
    <w:rsid w:val="009C2119"/>
    <w:rsid w:val="009C60F6"/>
    <w:rsid w:val="009C6859"/>
    <w:rsid w:val="009F0889"/>
    <w:rsid w:val="00A12C83"/>
    <w:rsid w:val="00A33056"/>
    <w:rsid w:val="00A61FED"/>
    <w:rsid w:val="00A62E0A"/>
    <w:rsid w:val="00AA705F"/>
    <w:rsid w:val="00AB72B3"/>
    <w:rsid w:val="00AE01B2"/>
    <w:rsid w:val="00B23F66"/>
    <w:rsid w:val="00B45825"/>
    <w:rsid w:val="00B4691E"/>
    <w:rsid w:val="00B6596F"/>
    <w:rsid w:val="00B74437"/>
    <w:rsid w:val="00B77A6C"/>
    <w:rsid w:val="00BC2F65"/>
    <w:rsid w:val="00BD57F5"/>
    <w:rsid w:val="00BE48A4"/>
    <w:rsid w:val="00BE56F0"/>
    <w:rsid w:val="00BE5845"/>
    <w:rsid w:val="00C15633"/>
    <w:rsid w:val="00C36B0F"/>
    <w:rsid w:val="00CA30E2"/>
    <w:rsid w:val="00CC2890"/>
    <w:rsid w:val="00CD2C48"/>
    <w:rsid w:val="00D03799"/>
    <w:rsid w:val="00D10635"/>
    <w:rsid w:val="00D11BF7"/>
    <w:rsid w:val="00D32AE5"/>
    <w:rsid w:val="00D525B8"/>
    <w:rsid w:val="00D557BE"/>
    <w:rsid w:val="00D55EA1"/>
    <w:rsid w:val="00D85A65"/>
    <w:rsid w:val="00DE138C"/>
    <w:rsid w:val="00DE5646"/>
    <w:rsid w:val="00DF2F41"/>
    <w:rsid w:val="00DF2F8D"/>
    <w:rsid w:val="00E224F4"/>
    <w:rsid w:val="00E2632F"/>
    <w:rsid w:val="00E2753F"/>
    <w:rsid w:val="00E305F1"/>
    <w:rsid w:val="00E43E9C"/>
    <w:rsid w:val="00E63407"/>
    <w:rsid w:val="00E84F06"/>
    <w:rsid w:val="00E92551"/>
    <w:rsid w:val="00EA4811"/>
    <w:rsid w:val="00ED0697"/>
    <w:rsid w:val="00F13FF1"/>
    <w:rsid w:val="00F421BE"/>
    <w:rsid w:val="00F44E66"/>
    <w:rsid w:val="00F6159E"/>
    <w:rsid w:val="00F62D1C"/>
    <w:rsid w:val="00F957C6"/>
    <w:rsid w:val="00FA6A4C"/>
    <w:rsid w:val="00FA77BF"/>
    <w:rsid w:val="00FB075C"/>
    <w:rsid w:val="00FB09AB"/>
    <w:rsid w:val="00FB52D8"/>
    <w:rsid w:val="00FB6C55"/>
    <w:rsid w:val="00FD2C22"/>
    <w:rsid w:val="00FE2C7F"/>
    <w:rsid w:val="00FE630C"/>
    <w:rsid w:val="00FF1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D2301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5B5E57"/>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5B5E57"/>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5B5E57"/>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5B5E57"/>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5B5E57"/>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5B5E57"/>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5B5E57"/>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2D3BA6"/>
    <w:pPr>
      <w:numPr>
        <w:ilvl w:val="1"/>
      </w:numPr>
      <w:spacing w:after="48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2D3BA6"/>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basedOn w:val="DefaultParagraphFont"/>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5B5E57"/>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5B5E57"/>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character" w:styleId="CommentReference">
    <w:name w:val="annotation reference"/>
    <w:basedOn w:val="DefaultParagraphFont"/>
    <w:uiPriority w:val="99"/>
    <w:semiHidden/>
    <w:unhideWhenUsed/>
    <w:rsid w:val="007A5E17"/>
    <w:rPr>
      <w:sz w:val="16"/>
      <w:szCs w:val="16"/>
    </w:rPr>
  </w:style>
  <w:style w:type="paragraph" w:styleId="CommentText">
    <w:name w:val="annotation text"/>
    <w:basedOn w:val="Normal"/>
    <w:link w:val="CommentTextChar"/>
    <w:uiPriority w:val="99"/>
    <w:semiHidden/>
    <w:unhideWhenUsed/>
    <w:rsid w:val="007A5E17"/>
    <w:pPr>
      <w:spacing w:line="240" w:lineRule="auto"/>
    </w:pPr>
    <w:rPr>
      <w:sz w:val="20"/>
      <w:szCs w:val="20"/>
    </w:rPr>
  </w:style>
  <w:style w:type="character" w:customStyle="1" w:styleId="CommentTextChar">
    <w:name w:val="Comment Text Char"/>
    <w:basedOn w:val="DefaultParagraphFont"/>
    <w:link w:val="CommentText"/>
    <w:uiPriority w:val="99"/>
    <w:semiHidden/>
    <w:rsid w:val="007A5E17"/>
    <w:rPr>
      <w:sz w:val="20"/>
      <w:szCs w:val="20"/>
    </w:rPr>
  </w:style>
  <w:style w:type="paragraph" w:styleId="CommentSubject">
    <w:name w:val="annotation subject"/>
    <w:basedOn w:val="CommentText"/>
    <w:next w:val="CommentText"/>
    <w:link w:val="CommentSubjectChar"/>
    <w:uiPriority w:val="99"/>
    <w:semiHidden/>
    <w:unhideWhenUsed/>
    <w:rsid w:val="007A5E17"/>
    <w:rPr>
      <w:b/>
      <w:bCs/>
    </w:rPr>
  </w:style>
  <w:style w:type="character" w:customStyle="1" w:styleId="CommentSubjectChar">
    <w:name w:val="Comment Subject Char"/>
    <w:basedOn w:val="CommentTextChar"/>
    <w:link w:val="CommentSubject"/>
    <w:uiPriority w:val="99"/>
    <w:semiHidden/>
    <w:rsid w:val="007A5E17"/>
    <w:rPr>
      <w:b/>
      <w:bCs/>
      <w:sz w:val="20"/>
      <w:szCs w:val="20"/>
    </w:rPr>
  </w:style>
  <w:style w:type="paragraph" w:styleId="Revision">
    <w:name w:val="Revision"/>
    <w:hidden/>
    <w:uiPriority w:val="99"/>
    <w:semiHidden/>
    <w:rsid w:val="00042CF9"/>
    <w:pPr>
      <w:spacing w:after="0" w:line="240" w:lineRule="auto"/>
    </w:pPr>
    <w:rPr>
      <w:sz w:val="22"/>
    </w:rPr>
  </w:style>
  <w:style w:type="paragraph" w:styleId="FootnoteText">
    <w:name w:val="footnote text"/>
    <w:basedOn w:val="Normal"/>
    <w:link w:val="FootnoteTextChar"/>
    <w:uiPriority w:val="99"/>
    <w:unhideWhenUsed/>
    <w:rsid w:val="00344F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44F6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44F6B"/>
    <w:rPr>
      <w:vertAlign w:val="superscript"/>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7018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8734">
      <w:bodyDiv w:val="1"/>
      <w:marLeft w:val="0"/>
      <w:marRight w:val="0"/>
      <w:marTop w:val="0"/>
      <w:marBottom w:val="0"/>
      <w:divBdr>
        <w:top w:val="none" w:sz="0" w:space="0" w:color="auto"/>
        <w:left w:val="none" w:sz="0" w:space="0" w:color="auto"/>
        <w:bottom w:val="none" w:sz="0" w:space="0" w:color="auto"/>
        <w:right w:val="none" w:sz="0" w:space="0" w:color="auto"/>
      </w:divBdr>
    </w:div>
    <w:div w:id="315958622">
      <w:bodyDiv w:val="1"/>
      <w:marLeft w:val="0"/>
      <w:marRight w:val="0"/>
      <w:marTop w:val="0"/>
      <w:marBottom w:val="0"/>
      <w:divBdr>
        <w:top w:val="none" w:sz="0" w:space="0" w:color="auto"/>
        <w:left w:val="none" w:sz="0" w:space="0" w:color="auto"/>
        <w:bottom w:val="none" w:sz="0" w:space="0" w:color="auto"/>
        <w:right w:val="none" w:sz="0" w:space="0" w:color="auto"/>
      </w:divBdr>
    </w:div>
    <w:div w:id="1023172955">
      <w:bodyDiv w:val="1"/>
      <w:marLeft w:val="0"/>
      <w:marRight w:val="0"/>
      <w:marTop w:val="0"/>
      <w:marBottom w:val="0"/>
      <w:divBdr>
        <w:top w:val="none" w:sz="0" w:space="0" w:color="auto"/>
        <w:left w:val="none" w:sz="0" w:space="0" w:color="auto"/>
        <w:bottom w:val="none" w:sz="0" w:space="0" w:color="auto"/>
        <w:right w:val="none" w:sz="0" w:space="0" w:color="auto"/>
      </w:divBdr>
    </w:div>
    <w:div w:id="1233663541">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womens-health-strategy-2020-20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umanrights.gov.au/our-work/sex-discrimination/publications/respectwork-sexual-harassment-national-inquiry-report-2020" TargetMode="External"/><Relationship Id="rId17" Type="http://schemas.openxmlformats.org/officeDocument/2006/relationships/hyperlink" Target="mailto:OFWengagement@pm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mc.gov.au/office-women/national-strategy-achieve-gender-equal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women-programs-services-reducing-violence/the-national-plan-to-end-violence-against-women-and-children-2022-203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easury.gov.au/employment-whitepaper/jobs-summi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c.gov.au/office-women/grants-and-funding/national-womens-alliance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gea.gov.au/sites/default/files/documents/2020-21_WGEA_SCORECARD.pdf" TargetMode="External"/><Relationship Id="rId2" Type="http://schemas.openxmlformats.org/officeDocument/2006/relationships/hyperlink" Target="https://parlinfo.aph.gov.au/parlInfo/download/publications/tabledpapers/e9d4eb0f-4ef4-41f3-95ef-b2b7cf8c491e/upload_pdf/Department%20of%20Social%20Services%20Annual%20Report%202020-21.pdf;fileType=application%2Fpdf" TargetMode="External"/><Relationship Id="rId1" Type="http://schemas.openxmlformats.org/officeDocument/2006/relationships/hyperlink" Target="https://assets.kpmg/content/dam/kpmg/au/pdf/2021/towards-a-more-equal-sharing-of-work-parental-equality.pdf" TargetMode="External"/><Relationship Id="rId5" Type="http://schemas.openxmlformats.org/officeDocument/2006/relationships/hyperlink" Target="https://www.aihw.gov.au/reports/australias-welfare/informal-carers" TargetMode="External"/><Relationship Id="rId4" Type="http://schemas.openxmlformats.org/officeDocument/2006/relationships/hyperlink" Target="https://treasury.gov.au/sites/default/files/2022-10/p2022-325290-children-gender-gap.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DOC23-157740</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4097-F0D8-4D1D-8CFE-520E0BD3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4611D-CC0D-46EF-9701-18A066CE7DC2}">
  <ds:schemaRefs>
    <ds:schemaRef ds:uri="http://schemas.microsoft.com/sharepoint/v3/contenttype/forms"/>
  </ds:schemaRefs>
</ds:datastoreItem>
</file>

<file path=customXml/itemProps3.xml><?xml version="1.0" encoding="utf-8"?>
<ds:datastoreItem xmlns:ds="http://schemas.openxmlformats.org/officeDocument/2006/customXml" ds:itemID="{8CE9F652-39D1-42B3-A02B-7DC3F9F3AA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4BBD2414-8D68-43BB-9AE1-1D626E45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2023-05-18T04:34:00Z</dcterms:created>
  <dcterms:modified xsi:type="dcterms:W3CDTF">2023-05-18T04:34:00Z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5" name="HPRMSecurityLevel">
    <vt:lpwstr>57;#OFFICIAL|11463c70-78df-4e3b-b0ff-f66cd3cb26ec</vt:lpwstr>
  </property>
  <property fmtid="{D5CDD505-2E9C-101B-9397-08002B2CF9AE}" pid="6" name="HPRMSecurityCaveat">
    <vt:lpwstr/>
  </property>
</Properties>
</file>