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6326909" w:displacedByCustomXml="next"/>
    <w:sdt>
      <w:sdtPr>
        <w:alias w:val="Title"/>
        <w:tag w:val=""/>
        <w:id w:val="879900963"/>
        <w:placeholder>
          <w:docPart w:val="EB3877B5AEC84C26ABE300F48A833CD5"/>
        </w:placeholder>
        <w:dataBinding w:prefixMappings="xmlns:ns0='http://purl.org/dc/elements/1.1/' xmlns:ns1='http://schemas.openxmlformats.org/package/2006/metadata/core-properties' " w:xpath="/ns1:coreProperties[1]/ns0:title[1]" w:storeItemID="{6C3C8BC8-F283-45AE-878A-BAB7291924A1}"/>
        <w:text/>
      </w:sdtPr>
      <w:sdtEndPr/>
      <w:sdtContent>
        <w:p w14:paraId="3BB8E216" w14:textId="16E60A9E" w:rsidR="002D3BA6" w:rsidRDefault="009372CE" w:rsidP="002D3BA6">
          <w:pPr>
            <w:pStyle w:val="Title"/>
          </w:pPr>
          <w:r>
            <w:t>Employment</w:t>
          </w:r>
        </w:p>
      </w:sdtContent>
    </w:sdt>
    <w:sdt>
      <w:sdtPr>
        <w:alias w:val="Subject"/>
        <w:tag w:val=""/>
        <w:id w:val="-472139675"/>
        <w:placeholder>
          <w:docPart w:val="10D6513FF7D9482DBF35F8C750840C0A"/>
        </w:placeholder>
        <w:dataBinding w:prefixMappings="xmlns:ns0='http://purl.org/dc/elements/1.1/' xmlns:ns1='http://schemas.openxmlformats.org/package/2006/metadata/core-properties' " w:xpath="/ns1:coreProperties[1]/ns0:subject[1]" w:storeItemID="{6C3C8BC8-F283-45AE-878A-BAB7291924A1}"/>
        <w:text/>
      </w:sdtPr>
      <w:sdtEndPr/>
      <w:sdtContent>
        <w:p w14:paraId="3EC6362A" w14:textId="346A3A7B" w:rsidR="002D3BA6" w:rsidRDefault="009372CE" w:rsidP="009372CE">
          <w:pPr>
            <w:pStyle w:val="Subtitle"/>
          </w:pPr>
          <w:r w:rsidRPr="009372CE">
            <w:t>Phase One Consultation: National Strategy to Achieve Gender Equality Introduction</w:t>
          </w:r>
        </w:p>
      </w:sdtContent>
    </w:sdt>
    <w:p w14:paraId="126AEB2F" w14:textId="239CDEFA" w:rsidR="005B5E57" w:rsidRPr="00E92551" w:rsidRDefault="009372CE" w:rsidP="005B5E57">
      <w:pPr>
        <w:pStyle w:val="Heading1"/>
        <w:rPr>
          <w:noProof/>
        </w:rPr>
      </w:pPr>
      <w:bookmarkStart w:id="1" w:name="_Toc96091122"/>
      <w:bookmarkStart w:id="2" w:name="_Toc96094525"/>
      <w:bookmarkStart w:id="3" w:name="_Toc96094558"/>
      <w:bookmarkStart w:id="4" w:name="_Toc96326913"/>
      <w:bookmarkEnd w:id="0"/>
      <w:bookmarkEnd w:id="1"/>
      <w:bookmarkEnd w:id="2"/>
      <w:bookmarkEnd w:id="3"/>
      <w:bookmarkEnd w:id="4"/>
      <w:r>
        <w:rPr>
          <w:noProof/>
        </w:rPr>
        <w:t>Introduction</w:t>
      </w:r>
    </w:p>
    <w:p w14:paraId="50748FF2" w14:textId="1593C45C" w:rsidR="00583AAC" w:rsidRPr="00583AAC" w:rsidRDefault="00583AAC" w:rsidP="00583AAC">
      <w:pPr>
        <w:rPr>
          <w:rFonts w:eastAsia="Times New Roman"/>
          <w:lang w:eastAsia="en-AU"/>
        </w:rPr>
      </w:pPr>
      <w:r w:rsidRPr="00583AAC">
        <w:rPr>
          <w:rFonts w:eastAsia="Times New Roman"/>
          <w:lang w:eastAsia="en-AU"/>
        </w:rPr>
        <w:t>Gender equality is at the heart of the Australian Government’s vision for a better future, and the Government is committed to restoring Australia’s leadership on gender equality. </w:t>
      </w:r>
    </w:p>
    <w:p w14:paraId="22C318D9" w14:textId="77777777" w:rsidR="00583AAC" w:rsidRPr="00583AAC" w:rsidRDefault="00583AAC" w:rsidP="00583AAC">
      <w:pPr>
        <w:rPr>
          <w:rFonts w:eastAsia="Times New Roman"/>
          <w:lang w:eastAsia="en-AU"/>
        </w:rPr>
      </w:pPr>
      <w:r w:rsidRPr="00583AAC">
        <w:rPr>
          <w:rFonts w:eastAsia="Times New Roman"/>
          <w:lang w:eastAsia="en-AU"/>
        </w:rPr>
        <w:t>The Government will develop a National Strategy to Achieve Gender Equality (the Strategy) to drive this ambition.</w:t>
      </w:r>
    </w:p>
    <w:p w14:paraId="319CFFD2" w14:textId="77777777" w:rsidR="00583AAC" w:rsidRPr="00583AAC" w:rsidRDefault="00583AAC" w:rsidP="00583AAC">
      <w:pPr>
        <w:pStyle w:val="Heading2"/>
        <w:rPr>
          <w:rFonts w:eastAsia="Times New Roman"/>
          <w:lang w:eastAsia="en-AU"/>
        </w:rPr>
      </w:pPr>
      <w:r w:rsidRPr="00583AAC">
        <w:rPr>
          <w:rFonts w:eastAsia="Times New Roman"/>
          <w:lang w:eastAsia="en-AU"/>
        </w:rPr>
        <w:t>What will the Strategy do?</w:t>
      </w:r>
    </w:p>
    <w:p w14:paraId="6F0EDD99" w14:textId="77777777" w:rsidR="00583AAC" w:rsidRPr="00583AAC" w:rsidRDefault="00583AAC" w:rsidP="00583AAC">
      <w:pPr>
        <w:rPr>
          <w:rFonts w:eastAsia="Times New Roman" w:cstheme="minorHAnsi"/>
          <w:lang w:eastAsia="en-AU"/>
        </w:rPr>
      </w:pPr>
      <w:r w:rsidRPr="00583AAC">
        <w:rPr>
          <w:rFonts w:eastAsia="Times New Roman" w:cstheme="minorHAnsi"/>
          <w:lang w:eastAsia="en-AU"/>
        </w:rPr>
        <w:t xml:space="preserve">The Strategy will guide whole of community action to help make Australia one of the best countries in the world for equality between women and men. </w:t>
      </w:r>
      <w:proofErr w:type="gramStart"/>
      <w:r w:rsidRPr="00583AAC">
        <w:rPr>
          <w:rFonts w:eastAsia="Times New Roman" w:cstheme="minorHAnsi"/>
          <w:lang w:eastAsia="en-AU"/>
        </w:rPr>
        <w:t>It is an important mechanism to elevate and prioritise actions that will achieve gender equality.</w:t>
      </w:r>
      <w:proofErr w:type="gramEnd"/>
    </w:p>
    <w:p w14:paraId="28582D45" w14:textId="4C5C6FAA" w:rsidR="00583AAC" w:rsidRPr="00583AAC" w:rsidRDefault="00583AAC" w:rsidP="00583AAC">
      <w:pPr>
        <w:rPr>
          <w:rFonts w:eastAsia="Times New Roman" w:cstheme="minorHAnsi"/>
          <w:lang w:eastAsia="en-AU"/>
        </w:rPr>
      </w:pPr>
      <w:r w:rsidRPr="00583AAC">
        <w:rPr>
          <w:rFonts w:eastAsia="Times New Roman" w:cstheme="minorHAnsi"/>
          <w:lang w:eastAsia="en-AU"/>
        </w:rPr>
        <w:t>The Strategy will complement other efforts across Government to achieve gender equality, including:</w:t>
      </w:r>
    </w:p>
    <w:p w14:paraId="59CD7F1D" w14:textId="77777777" w:rsidR="00583AAC" w:rsidRPr="00583AAC" w:rsidRDefault="00583AAC" w:rsidP="00583AAC">
      <w:pPr>
        <w:pStyle w:val="BulletedList-Level1"/>
        <w:rPr>
          <w:rFonts w:eastAsia="Times New Roman" w:cstheme="minorHAnsi"/>
          <w:lang w:eastAsia="en-AU"/>
        </w:rPr>
      </w:pPr>
      <w:r w:rsidRPr="00583AAC">
        <w:rPr>
          <w:rFonts w:eastAsia="Times New Roman" w:cstheme="minorHAnsi"/>
          <w:lang w:eastAsia="en-AU"/>
        </w:rPr>
        <w:t>the </w:t>
      </w:r>
      <w:hyperlink r:id="rId11" w:history="1">
        <w:r w:rsidRPr="00583AAC">
          <w:rPr>
            <w:rFonts w:eastAsia="Times New Roman" w:cstheme="minorHAnsi"/>
            <w:i/>
            <w:iCs/>
            <w:color w:val="0062A0"/>
            <w:u w:val="single"/>
            <w:bdr w:val="none" w:sz="0" w:space="0" w:color="auto" w:frame="1"/>
            <w:lang w:eastAsia="en-AU"/>
          </w:rPr>
          <w:t>National Plan to End Violence against Women and Children 2022–32</w:t>
        </w:r>
      </w:hyperlink>
      <w:r w:rsidRPr="00583AAC">
        <w:rPr>
          <w:rFonts w:eastAsia="Times New Roman" w:cstheme="minorHAnsi"/>
          <w:lang w:eastAsia="en-AU"/>
        </w:rPr>
        <w:t> (National Plan)</w:t>
      </w:r>
    </w:p>
    <w:p w14:paraId="3B926D94" w14:textId="77777777" w:rsidR="00583AAC" w:rsidRPr="00583AAC" w:rsidRDefault="00583AAC" w:rsidP="00583AAC">
      <w:pPr>
        <w:pStyle w:val="BulletedList-Level1"/>
        <w:rPr>
          <w:rFonts w:eastAsia="Times New Roman" w:cstheme="minorHAnsi"/>
          <w:lang w:eastAsia="en-AU"/>
        </w:rPr>
      </w:pPr>
      <w:r w:rsidRPr="00583AAC">
        <w:rPr>
          <w:rFonts w:eastAsia="Times New Roman" w:cstheme="minorHAnsi"/>
          <w:lang w:eastAsia="en-AU"/>
        </w:rPr>
        <w:t>the Government’s response to the Australian Human Rights Commission’s </w:t>
      </w:r>
      <w:hyperlink r:id="rId12" w:history="1">
        <w:proofErr w:type="spellStart"/>
        <w:r w:rsidRPr="00583AAC">
          <w:rPr>
            <w:rFonts w:eastAsia="Times New Roman" w:cstheme="minorHAnsi"/>
            <w:color w:val="0062A0"/>
            <w:u w:val="single"/>
            <w:bdr w:val="none" w:sz="0" w:space="0" w:color="auto" w:frame="1"/>
            <w:lang w:eastAsia="en-AU"/>
          </w:rPr>
          <w:t>Respect@Work</w:t>
        </w:r>
        <w:proofErr w:type="spellEnd"/>
        <w:r w:rsidRPr="00583AAC">
          <w:rPr>
            <w:rFonts w:eastAsia="Times New Roman" w:cstheme="minorHAnsi"/>
            <w:color w:val="0062A0"/>
            <w:u w:val="single"/>
            <w:bdr w:val="none" w:sz="0" w:space="0" w:color="auto" w:frame="1"/>
            <w:lang w:eastAsia="en-AU"/>
          </w:rPr>
          <w:t xml:space="preserve"> Report</w:t>
        </w:r>
      </w:hyperlink>
    </w:p>
    <w:p w14:paraId="7B828BC5" w14:textId="77777777" w:rsidR="00583AAC" w:rsidRPr="00583AAC" w:rsidRDefault="00583AAC" w:rsidP="00583AAC">
      <w:pPr>
        <w:pStyle w:val="BulletedList-Level1"/>
        <w:rPr>
          <w:rFonts w:eastAsia="Times New Roman" w:cstheme="minorHAnsi"/>
          <w:lang w:eastAsia="en-AU"/>
        </w:rPr>
      </w:pPr>
      <w:r w:rsidRPr="00583AAC">
        <w:rPr>
          <w:rFonts w:eastAsia="Times New Roman" w:cstheme="minorHAnsi"/>
          <w:lang w:eastAsia="en-AU"/>
        </w:rPr>
        <w:t>the</w:t>
      </w:r>
      <w:r w:rsidRPr="00583AAC">
        <w:rPr>
          <w:rFonts w:eastAsia="Times New Roman" w:cstheme="minorHAnsi"/>
          <w:i/>
          <w:iCs/>
          <w:bdr w:val="none" w:sz="0" w:space="0" w:color="auto" w:frame="1"/>
          <w:lang w:eastAsia="en-AU"/>
        </w:rPr>
        <w:t> </w:t>
      </w:r>
      <w:hyperlink r:id="rId13" w:history="1">
        <w:r w:rsidRPr="00583AAC">
          <w:rPr>
            <w:rFonts w:eastAsia="Times New Roman" w:cstheme="minorHAnsi"/>
            <w:i/>
            <w:iCs/>
            <w:color w:val="0062A0"/>
            <w:u w:val="single"/>
            <w:bdr w:val="none" w:sz="0" w:space="0" w:color="auto" w:frame="1"/>
            <w:lang w:eastAsia="en-AU"/>
          </w:rPr>
          <w:t>National Women’s Health Strategy 2020–2030</w:t>
        </w:r>
      </w:hyperlink>
    </w:p>
    <w:p w14:paraId="5A390FEF" w14:textId="77777777" w:rsidR="00583AAC" w:rsidRPr="00583AAC" w:rsidRDefault="00583AAC" w:rsidP="00583AAC">
      <w:pPr>
        <w:rPr>
          <w:rFonts w:eastAsia="Times New Roman" w:cstheme="minorHAnsi"/>
          <w:lang w:eastAsia="en-AU"/>
        </w:rPr>
      </w:pPr>
      <w:r w:rsidRPr="00583AAC">
        <w:rPr>
          <w:rFonts w:eastAsia="Times New Roman" w:cstheme="minorHAnsi"/>
          <w:lang w:eastAsia="en-AU"/>
        </w:rPr>
        <w:t>It will also support the work of similar state and territory plans.</w:t>
      </w:r>
    </w:p>
    <w:p w14:paraId="5A2517F8" w14:textId="77777777" w:rsidR="00583AAC" w:rsidRPr="00583AAC" w:rsidRDefault="00583AAC" w:rsidP="00583AAC">
      <w:pPr>
        <w:pStyle w:val="Heading2"/>
        <w:rPr>
          <w:rFonts w:eastAsia="Times New Roman"/>
          <w:lang w:eastAsia="en-AU"/>
        </w:rPr>
      </w:pPr>
      <w:r w:rsidRPr="00583AAC">
        <w:rPr>
          <w:rFonts w:eastAsia="Times New Roman"/>
          <w:lang w:eastAsia="en-AU"/>
        </w:rPr>
        <w:t xml:space="preserve">How </w:t>
      </w:r>
      <w:proofErr w:type="gramStart"/>
      <w:r w:rsidRPr="00583AAC">
        <w:rPr>
          <w:rFonts w:eastAsia="Times New Roman"/>
          <w:lang w:eastAsia="en-AU"/>
        </w:rPr>
        <w:t>will the Strategy be developed</w:t>
      </w:r>
      <w:proofErr w:type="gramEnd"/>
      <w:r w:rsidRPr="00583AAC">
        <w:rPr>
          <w:rFonts w:eastAsia="Times New Roman"/>
          <w:lang w:eastAsia="en-AU"/>
        </w:rPr>
        <w:t>?</w:t>
      </w:r>
    </w:p>
    <w:p w14:paraId="5C155E42" w14:textId="77777777" w:rsidR="00583AAC" w:rsidRPr="00583AAC" w:rsidRDefault="00583AAC" w:rsidP="00583AAC">
      <w:pPr>
        <w:rPr>
          <w:rFonts w:eastAsia="Times New Roman"/>
          <w:lang w:eastAsia="en-AU"/>
        </w:rPr>
      </w:pPr>
      <w:r w:rsidRPr="00583AAC">
        <w:rPr>
          <w:rFonts w:eastAsia="Times New Roman"/>
          <w:lang w:eastAsia="en-AU"/>
        </w:rPr>
        <w:t>The Government will deliver the Strategy by mid-2023.</w:t>
      </w:r>
    </w:p>
    <w:p w14:paraId="3ACDE9A9" w14:textId="1134A181" w:rsidR="00583AAC" w:rsidRPr="00583AAC" w:rsidRDefault="00583AAC" w:rsidP="00583AAC">
      <w:pPr>
        <w:rPr>
          <w:rFonts w:eastAsia="Times New Roman"/>
          <w:lang w:eastAsia="en-AU"/>
        </w:rPr>
      </w:pPr>
      <w:r w:rsidRPr="00583AAC">
        <w:rPr>
          <w:rFonts w:eastAsia="Times New Roman"/>
          <w:lang w:eastAsia="en-AU"/>
        </w:rPr>
        <w:t xml:space="preserve">The Office for Women will develop the </w:t>
      </w:r>
      <w:r w:rsidR="00B01FB1">
        <w:rPr>
          <w:rFonts w:eastAsia="Times New Roman"/>
          <w:lang w:eastAsia="en-AU"/>
        </w:rPr>
        <w:t>S</w:t>
      </w:r>
      <w:r w:rsidRPr="00583AAC">
        <w:rPr>
          <w:rFonts w:eastAsia="Times New Roman"/>
          <w:lang w:eastAsia="en-AU"/>
        </w:rPr>
        <w:t xml:space="preserve">trategy in consultation with women and girls around Australia, with a focus on ensuring that diverse voices </w:t>
      </w:r>
      <w:proofErr w:type="gramStart"/>
      <w:r w:rsidRPr="00583AAC">
        <w:rPr>
          <w:rFonts w:eastAsia="Times New Roman"/>
          <w:lang w:eastAsia="en-AU"/>
        </w:rPr>
        <w:t>are heard and included</w:t>
      </w:r>
      <w:proofErr w:type="gramEnd"/>
      <w:r w:rsidRPr="00583AAC">
        <w:rPr>
          <w:rFonts w:eastAsia="Times New Roman"/>
          <w:lang w:eastAsia="en-AU"/>
        </w:rPr>
        <w:t>.</w:t>
      </w:r>
    </w:p>
    <w:p w14:paraId="0889D084" w14:textId="2B24960D" w:rsidR="00583AAC" w:rsidRPr="00583AAC" w:rsidRDefault="00583AAC" w:rsidP="00583AAC">
      <w:pPr>
        <w:rPr>
          <w:rFonts w:eastAsia="Times New Roman"/>
          <w:lang w:eastAsia="en-AU"/>
        </w:rPr>
      </w:pPr>
      <w:r w:rsidRPr="00583AAC">
        <w:rPr>
          <w:rFonts w:eastAsia="Times New Roman"/>
          <w:lang w:eastAsia="en-AU"/>
        </w:rPr>
        <w:t xml:space="preserve">The Government has also established the Women’s Economic Equality Taskforce (the Taskforce) to provide independent advice to </w:t>
      </w:r>
      <w:proofErr w:type="gramStart"/>
      <w:r w:rsidRPr="00583AAC">
        <w:rPr>
          <w:rFonts w:eastAsia="Times New Roman"/>
          <w:lang w:eastAsia="en-AU"/>
        </w:rPr>
        <w:t>Government,</w:t>
      </w:r>
      <w:proofErr w:type="gramEnd"/>
      <w:r w:rsidRPr="00583AAC">
        <w:rPr>
          <w:rFonts w:eastAsia="Times New Roman"/>
          <w:lang w:eastAsia="en-AU"/>
        </w:rPr>
        <w:t xml:space="preserve"> ensuring women are at the centre of policy and decision-making. The Taskforce will be a leading contributor to the Strategy, and as part of this will engage broadly with the Australian community to elevate and honour the voices of women in the Strategy.</w:t>
      </w:r>
    </w:p>
    <w:p w14:paraId="2A10FC72" w14:textId="77777777" w:rsidR="00583AAC" w:rsidRPr="00583AAC" w:rsidRDefault="00583AAC" w:rsidP="00583AAC">
      <w:pPr>
        <w:rPr>
          <w:rFonts w:eastAsia="Times New Roman"/>
          <w:lang w:eastAsia="en-AU"/>
        </w:rPr>
      </w:pPr>
      <w:r w:rsidRPr="00583AAC">
        <w:rPr>
          <w:rFonts w:eastAsia="Times New Roman"/>
          <w:lang w:eastAsia="en-AU"/>
        </w:rPr>
        <w:t>The six </w:t>
      </w:r>
      <w:hyperlink r:id="rId14" w:history="1">
        <w:r w:rsidRPr="00583AAC">
          <w:rPr>
            <w:rFonts w:eastAsia="Times New Roman"/>
            <w:color w:val="0062A0"/>
            <w:u w:val="single"/>
            <w:bdr w:val="none" w:sz="0" w:space="0" w:color="auto" w:frame="1"/>
            <w:lang w:eastAsia="en-AU"/>
          </w:rPr>
          <w:t>National Women’s Alliances</w:t>
        </w:r>
      </w:hyperlink>
      <w:r w:rsidRPr="00583AAC">
        <w:rPr>
          <w:rFonts w:eastAsia="Times New Roman"/>
          <w:lang w:eastAsia="en-AU"/>
        </w:rPr>
        <w:t> will also play a key role in informing the development of the Strategy.</w:t>
      </w:r>
    </w:p>
    <w:p w14:paraId="68B1667F" w14:textId="77777777" w:rsidR="00583AAC" w:rsidRPr="00583AAC" w:rsidRDefault="00583AAC" w:rsidP="00583AAC">
      <w:pPr>
        <w:pStyle w:val="Heading1"/>
      </w:pPr>
      <w:r w:rsidRPr="00583AAC">
        <w:lastRenderedPageBreak/>
        <w:t>Consultation</w:t>
      </w:r>
    </w:p>
    <w:p w14:paraId="78B6021B" w14:textId="5940C89A" w:rsidR="00583AAC" w:rsidRPr="00583AAC" w:rsidRDefault="00583AAC" w:rsidP="00583AAC">
      <w:pPr>
        <w:rPr>
          <w:rFonts w:eastAsia="Times New Roman"/>
          <w:lang w:eastAsia="en-AU"/>
        </w:rPr>
      </w:pPr>
      <w:r w:rsidRPr="00583AAC">
        <w:rPr>
          <w:rFonts w:eastAsia="Times New Roman"/>
          <w:lang w:eastAsia="en-AU"/>
        </w:rPr>
        <w:t xml:space="preserve">Consultations will reach people </w:t>
      </w:r>
      <w:r w:rsidRPr="00583AAC">
        <w:t>w</w:t>
      </w:r>
      <w:r w:rsidRPr="00583AAC">
        <w:rPr>
          <w:lang w:eastAsia="en-AU"/>
        </w:rPr>
        <w:t>ith lived experience of gender inequalit</w:t>
      </w:r>
      <w:r w:rsidRPr="00583AAC">
        <w:t xml:space="preserve">y, </w:t>
      </w:r>
      <w:r w:rsidRPr="00583AAC">
        <w:rPr>
          <w:lang w:eastAsia="en-AU"/>
        </w:rPr>
        <w:t>living with disability</w:t>
      </w:r>
      <w:r w:rsidRPr="00583AAC">
        <w:t xml:space="preserve">, First Nations people, </w:t>
      </w:r>
      <w:r w:rsidRPr="00583AAC">
        <w:rPr>
          <w:lang w:eastAsia="en-AU"/>
        </w:rPr>
        <w:t>people who are LGBTQIA+</w:t>
      </w:r>
      <w:r w:rsidRPr="00583AAC">
        <w:t xml:space="preserve">, </w:t>
      </w:r>
      <w:r w:rsidRPr="00583AAC">
        <w:rPr>
          <w:lang w:eastAsia="en-AU"/>
        </w:rPr>
        <w:t>migrant and refugee women</w:t>
      </w:r>
      <w:r w:rsidRPr="00583AAC">
        <w:t xml:space="preserve">, </w:t>
      </w:r>
      <w:r w:rsidRPr="00583AAC">
        <w:rPr>
          <w:lang w:eastAsia="en-AU"/>
        </w:rPr>
        <w:t>those living in regional and remote areas</w:t>
      </w:r>
      <w:r w:rsidRPr="00583AAC">
        <w:t xml:space="preserve"> and </w:t>
      </w:r>
      <w:r w:rsidRPr="00583AAC">
        <w:rPr>
          <w:lang w:eastAsia="en-AU"/>
        </w:rPr>
        <w:t>people from all backgrounds and classes.</w:t>
      </w:r>
    </w:p>
    <w:p w14:paraId="797BBC31" w14:textId="77777777" w:rsidR="00583AAC" w:rsidRPr="00583AAC" w:rsidRDefault="00583AAC" w:rsidP="00583AAC">
      <w:pPr>
        <w:rPr>
          <w:rFonts w:eastAsia="Times New Roman"/>
          <w:lang w:eastAsia="en-AU"/>
        </w:rPr>
      </w:pPr>
      <w:r w:rsidRPr="00583AAC">
        <w:rPr>
          <w:rFonts w:eastAsia="Times New Roman"/>
          <w:lang w:eastAsia="en-AU"/>
        </w:rPr>
        <w:t xml:space="preserve">The consultation </w:t>
      </w:r>
      <w:proofErr w:type="gramStart"/>
      <w:r w:rsidRPr="00583AAC">
        <w:rPr>
          <w:rFonts w:eastAsia="Times New Roman"/>
          <w:lang w:eastAsia="en-AU"/>
        </w:rPr>
        <w:t>will be undertaken</w:t>
      </w:r>
      <w:proofErr w:type="gramEnd"/>
      <w:r w:rsidRPr="00583AAC">
        <w:rPr>
          <w:rFonts w:eastAsia="Times New Roman"/>
          <w:lang w:eastAsia="en-AU"/>
        </w:rPr>
        <w:t xml:space="preserve"> in </w:t>
      </w:r>
      <w:r w:rsidRPr="00640147">
        <w:rPr>
          <w:rFonts w:eastAsia="Times New Roman"/>
          <w:b/>
          <w:lang w:eastAsia="en-AU"/>
        </w:rPr>
        <w:t>two stages.</w:t>
      </w:r>
    </w:p>
    <w:p w14:paraId="1AEFA3B5" w14:textId="07EF7F6D" w:rsidR="00583AAC" w:rsidRPr="00583AAC" w:rsidRDefault="00583AAC" w:rsidP="00583AAC">
      <w:pPr>
        <w:rPr>
          <w:rFonts w:eastAsia="Times New Roman"/>
          <w:lang w:eastAsia="en-AU"/>
        </w:rPr>
      </w:pPr>
      <w:r w:rsidRPr="00583AAC">
        <w:rPr>
          <w:rFonts w:eastAsia="Times New Roman"/>
          <w:lang w:eastAsia="en-AU"/>
        </w:rPr>
        <w:t>Starting in November</w:t>
      </w:r>
      <w:r w:rsidR="00B01FB1">
        <w:rPr>
          <w:rFonts w:eastAsia="Times New Roman"/>
          <w:lang w:eastAsia="en-AU"/>
        </w:rPr>
        <w:t xml:space="preserve"> 2022</w:t>
      </w:r>
      <w:r w:rsidRPr="00583AAC">
        <w:rPr>
          <w:rFonts w:eastAsia="Times New Roman"/>
          <w:lang w:eastAsia="en-AU"/>
        </w:rPr>
        <w:t>, the Office for Women will lead targeted national consultations to inform the early development of the Strategy. These will take place across Australia and include discussions with a range of stakeholders including gender experts, academics, economists, women’s alliances, the community sector, unions and business.</w:t>
      </w:r>
    </w:p>
    <w:p w14:paraId="76680CA0" w14:textId="2D338188" w:rsidR="00583AAC" w:rsidRPr="00583AAC" w:rsidRDefault="00B01FB1" w:rsidP="00583AAC">
      <w:pPr>
        <w:rPr>
          <w:rFonts w:eastAsia="Times New Roman"/>
          <w:lang w:eastAsia="en-AU"/>
        </w:rPr>
      </w:pPr>
      <w:r>
        <w:rPr>
          <w:rFonts w:eastAsia="Times New Roman"/>
          <w:lang w:eastAsia="en-AU"/>
        </w:rPr>
        <w:t>In e</w:t>
      </w:r>
      <w:r w:rsidR="00583AAC" w:rsidRPr="00583AAC">
        <w:rPr>
          <w:rFonts w:eastAsia="Times New Roman"/>
          <w:lang w:eastAsia="en-AU"/>
        </w:rPr>
        <w:t xml:space="preserve">arly 2023, broader community consultations will provide an opportunity for people to share their views of how we achieve gender equality and how this </w:t>
      </w:r>
      <w:proofErr w:type="gramStart"/>
      <w:r w:rsidR="00583AAC" w:rsidRPr="00583AAC">
        <w:rPr>
          <w:rFonts w:eastAsia="Times New Roman"/>
          <w:lang w:eastAsia="en-AU"/>
        </w:rPr>
        <w:t>should be reflected</w:t>
      </w:r>
      <w:proofErr w:type="gramEnd"/>
      <w:r w:rsidR="00583AAC" w:rsidRPr="00583AAC">
        <w:rPr>
          <w:rFonts w:eastAsia="Times New Roman"/>
          <w:lang w:eastAsia="en-AU"/>
        </w:rPr>
        <w:t xml:space="preserve"> in the </w:t>
      </w:r>
      <w:r>
        <w:rPr>
          <w:rFonts w:eastAsia="Times New Roman"/>
          <w:lang w:eastAsia="en-AU"/>
        </w:rPr>
        <w:t>S</w:t>
      </w:r>
      <w:r w:rsidR="00583AAC" w:rsidRPr="00583AAC">
        <w:rPr>
          <w:rFonts w:eastAsia="Times New Roman"/>
          <w:lang w:eastAsia="en-AU"/>
        </w:rPr>
        <w:t>trategy.</w:t>
      </w:r>
    </w:p>
    <w:p w14:paraId="10B946F8" w14:textId="2BFD10C1" w:rsidR="00583AAC" w:rsidRPr="00583AAC" w:rsidRDefault="00583AAC" w:rsidP="00583AAC">
      <w:pPr>
        <w:rPr>
          <w:rFonts w:eastAsia="Times New Roman"/>
          <w:lang w:eastAsia="en-AU"/>
        </w:rPr>
      </w:pPr>
      <w:r w:rsidRPr="00583AAC">
        <w:rPr>
          <w:rFonts w:eastAsia="Times New Roman"/>
          <w:lang w:eastAsia="en-AU"/>
        </w:rPr>
        <w:t>The Strategy will draw from a comprehensive evidence base, and reflect public commentary, recent consultations and submissions to government. It will draw from contemporary research and reports, including those prepared for the </w:t>
      </w:r>
      <w:hyperlink r:id="rId15" w:history="1">
        <w:r w:rsidRPr="00583AAC">
          <w:rPr>
            <w:rFonts w:eastAsia="Times New Roman"/>
            <w:color w:val="0062A0"/>
            <w:u w:val="single"/>
            <w:bdr w:val="none" w:sz="0" w:space="0" w:color="auto" w:frame="1"/>
            <w:lang w:eastAsia="en-AU"/>
          </w:rPr>
          <w:t>Jobs and Skills Summit and resulting Employment White Paper</w:t>
        </w:r>
      </w:hyperlink>
    </w:p>
    <w:p w14:paraId="2EE460DA" w14:textId="78F2BC45" w:rsidR="00583AAC" w:rsidRPr="00583AAC" w:rsidRDefault="00583AAC" w:rsidP="00583AAC">
      <w:pPr>
        <w:rPr>
          <w:rFonts w:eastAsia="Times New Roman"/>
          <w:lang w:eastAsia="en-AU"/>
        </w:rPr>
      </w:pPr>
      <w:r w:rsidRPr="00583AAC">
        <w:rPr>
          <w:rFonts w:eastAsia="Times New Roman"/>
          <w:lang w:eastAsia="en-AU"/>
        </w:rPr>
        <w:t xml:space="preserve">Further information on consultation </w:t>
      </w:r>
      <w:proofErr w:type="gramStart"/>
      <w:r w:rsidRPr="00583AAC">
        <w:rPr>
          <w:rFonts w:eastAsia="Times New Roman"/>
          <w:lang w:eastAsia="en-AU"/>
        </w:rPr>
        <w:t>will be provided</w:t>
      </w:r>
      <w:proofErr w:type="gramEnd"/>
      <w:r w:rsidRPr="00583AAC">
        <w:rPr>
          <w:rFonts w:eastAsia="Times New Roman"/>
          <w:lang w:eastAsia="en-AU"/>
        </w:rPr>
        <w:t xml:space="preserve"> on the Office for Women’s </w:t>
      </w:r>
      <w:hyperlink r:id="rId16" w:history="1">
        <w:r w:rsidRPr="00583AAC">
          <w:rPr>
            <w:rFonts w:eastAsia="Times New Roman"/>
            <w:color w:val="3266AB"/>
            <w:u w:val="single"/>
            <w:lang w:eastAsia="en-AU"/>
          </w:rPr>
          <w:t>webpage</w:t>
        </w:r>
      </w:hyperlink>
      <w:r w:rsidRPr="00583AAC">
        <w:rPr>
          <w:rFonts w:eastAsia="Times New Roman"/>
          <w:lang w:eastAsia="en-AU"/>
        </w:rPr>
        <w:t>.</w:t>
      </w:r>
    </w:p>
    <w:p w14:paraId="67B22E40" w14:textId="49CCF936" w:rsidR="006A5AA6" w:rsidRPr="00583AAC" w:rsidRDefault="00583AAC" w:rsidP="005B5E57">
      <w:pPr>
        <w:rPr>
          <w:rFonts w:eastAsia="Times New Roman"/>
          <w:lang w:eastAsia="en-AU"/>
        </w:rPr>
      </w:pPr>
      <w:proofErr w:type="gramStart"/>
      <w:r w:rsidRPr="00583AAC">
        <w:rPr>
          <w:rFonts w:eastAsia="Times New Roman"/>
          <w:lang w:eastAsia="en-AU"/>
        </w:rPr>
        <w:t>For further information</w:t>
      </w:r>
      <w:r w:rsidR="00B01FB1">
        <w:rPr>
          <w:rFonts w:eastAsia="Times New Roman"/>
          <w:lang w:eastAsia="en-AU"/>
        </w:rPr>
        <w:t xml:space="preserve"> or to</w:t>
      </w:r>
      <w:r w:rsidRPr="00583AAC">
        <w:rPr>
          <w:rFonts w:eastAsia="Times New Roman"/>
          <w:lang w:eastAsia="en-AU"/>
        </w:rPr>
        <w:t xml:space="preserve"> express interest in being included in consultation</w:t>
      </w:r>
      <w:r w:rsidR="00B01FB1">
        <w:rPr>
          <w:rFonts w:eastAsia="Times New Roman"/>
          <w:lang w:eastAsia="en-AU"/>
        </w:rPr>
        <w:t>,</w:t>
      </w:r>
      <w:proofErr w:type="gramEnd"/>
      <w:r w:rsidR="00B57096">
        <w:rPr>
          <w:rFonts w:eastAsia="Times New Roman"/>
          <w:lang w:eastAsia="en-AU"/>
        </w:rPr>
        <w:t xml:space="preserve"> </w:t>
      </w:r>
      <w:r w:rsidR="00B01FB1">
        <w:rPr>
          <w:rFonts w:eastAsia="Times New Roman"/>
          <w:lang w:eastAsia="en-AU"/>
        </w:rPr>
        <w:t>please</w:t>
      </w:r>
      <w:r w:rsidRPr="00583AAC">
        <w:rPr>
          <w:rFonts w:eastAsia="Times New Roman"/>
          <w:lang w:eastAsia="en-AU"/>
        </w:rPr>
        <w:t xml:space="preserve"> contact: </w:t>
      </w:r>
      <w:hyperlink r:id="rId17" w:history="1">
        <w:r w:rsidRPr="00583AAC">
          <w:rPr>
            <w:rFonts w:eastAsia="Times New Roman"/>
            <w:color w:val="0062A0"/>
            <w:u w:val="single"/>
            <w:bdr w:val="none" w:sz="0" w:space="0" w:color="auto" w:frame="1"/>
            <w:lang w:eastAsia="en-AU"/>
          </w:rPr>
          <w:t>OFWengagement@pmc.gov.au</w:t>
        </w:r>
      </w:hyperlink>
    </w:p>
    <w:p w14:paraId="0C4F5A0A" w14:textId="167A467C" w:rsidR="00700BB4" w:rsidRDefault="00700BB4" w:rsidP="00700BB4">
      <w:pPr>
        <w:pStyle w:val="Heading1"/>
      </w:pPr>
      <w:r>
        <w:t>Current situation</w:t>
      </w:r>
    </w:p>
    <w:p w14:paraId="276BD4E4" w14:textId="2D4F3783" w:rsidR="00700BB4" w:rsidRDefault="00F451C4" w:rsidP="00700BB4">
      <w:pPr>
        <w:spacing w:after="200"/>
        <w:rPr>
          <w:b/>
          <w:color w:val="FF0000"/>
        </w:rPr>
      </w:pPr>
      <w:r>
        <w:t xml:space="preserve">(Note: The research and evidence outlined in this paper are not intended to be </w:t>
      </w:r>
      <w:proofErr w:type="gramStart"/>
      <w:r>
        <w:t>comprehensive,</w:t>
      </w:r>
      <w:proofErr w:type="gramEnd"/>
      <w:r>
        <w:t xml:space="preserve"> instead </w:t>
      </w:r>
      <w:r w:rsidR="00C32A63">
        <w:t>it is</w:t>
      </w:r>
      <w:r>
        <w:t xml:space="preserve"> used to facilitate </w:t>
      </w:r>
      <w:r w:rsidR="00C32A63">
        <w:t>consultation</w:t>
      </w:r>
      <w:r>
        <w:t>.)</w:t>
      </w:r>
    </w:p>
    <w:p w14:paraId="18FABD3F" w14:textId="199C9F4A" w:rsidR="00233E77" w:rsidRDefault="00233E77" w:rsidP="00640147">
      <w:pPr>
        <w:pStyle w:val="Heading2"/>
      </w:pPr>
      <w:r>
        <w:t>Gender pay gap</w:t>
      </w:r>
    </w:p>
    <w:p w14:paraId="555EA786" w14:textId="6C703573" w:rsidR="00C15E2E" w:rsidRPr="00C15E2E" w:rsidRDefault="00C15E2E" w:rsidP="00C15E2E">
      <w:pPr>
        <w:pStyle w:val="BulletedList-Level1"/>
        <w:contextualSpacing w:val="0"/>
      </w:pPr>
      <w:r w:rsidRPr="00C15E2E">
        <w:t xml:space="preserve">On average, women earn 86 cents for every dollar earned by men, </w:t>
      </w:r>
      <w:r w:rsidR="007E1200">
        <w:t>and earn</w:t>
      </w:r>
      <w:r w:rsidRPr="00C15E2E">
        <w:t xml:space="preserve"> less for every dollar earned by </w:t>
      </w:r>
      <w:proofErr w:type="gramStart"/>
      <w:r w:rsidRPr="00C15E2E">
        <w:t>men</w:t>
      </w:r>
      <w:proofErr w:type="gramEnd"/>
      <w:r w:rsidRPr="00C15E2E">
        <w:t xml:space="preserve"> as they get older. The gender pay gap (GPG) </w:t>
      </w:r>
      <w:r w:rsidR="00F41114">
        <w:t>is</w:t>
      </w:r>
      <w:r w:rsidR="00F41114" w:rsidRPr="00C15E2E">
        <w:t xml:space="preserve"> </w:t>
      </w:r>
      <w:r w:rsidRPr="00C15E2E">
        <w:t>2.5</w:t>
      </w:r>
      <w:r w:rsidR="00C32A63">
        <w:t xml:space="preserve"> per cent</w:t>
      </w:r>
      <w:r w:rsidRPr="00C15E2E">
        <w:t xml:space="preserve"> or $1,413 per year at under 25 years-old</w:t>
      </w:r>
      <w:r w:rsidR="007E1200">
        <w:t>,</w:t>
      </w:r>
      <w:r w:rsidRPr="00C15E2E">
        <w:t xml:space="preserve"> but </w:t>
      </w:r>
      <w:r w:rsidR="00F41114" w:rsidRPr="00C15E2E">
        <w:t>widen</w:t>
      </w:r>
      <w:r w:rsidR="00F41114">
        <w:t>s</w:t>
      </w:r>
      <w:r w:rsidR="00F41114" w:rsidRPr="00C15E2E">
        <w:t xml:space="preserve"> </w:t>
      </w:r>
      <w:r w:rsidRPr="00C15E2E">
        <w:t>to its largest gap of 31.9</w:t>
      </w:r>
      <w:r w:rsidR="00C32A63">
        <w:t xml:space="preserve"> per cent</w:t>
      </w:r>
      <w:r w:rsidRPr="00C15E2E">
        <w:t xml:space="preserve"> or more than $40,000 per year between the ages of 55–64 years-old.</w:t>
      </w:r>
      <w:r w:rsidRPr="00C15E2E">
        <w:rPr>
          <w:vertAlign w:val="superscript"/>
        </w:rPr>
        <w:footnoteReference w:id="2"/>
      </w:r>
    </w:p>
    <w:p w14:paraId="2B4D9BB1" w14:textId="1218D66D" w:rsidR="00C15E2E" w:rsidRPr="00C15E2E" w:rsidRDefault="008A0847" w:rsidP="00C15E2E">
      <w:pPr>
        <w:pStyle w:val="BulletedList-Level1"/>
        <w:contextualSpacing w:val="0"/>
        <w:rPr>
          <w:lang w:val="en-US"/>
        </w:rPr>
      </w:pPr>
      <w:r>
        <w:t>Australia’s national gender pay gap is 14.1</w:t>
      </w:r>
      <w:r w:rsidR="00706443">
        <w:t xml:space="preserve"> </w:t>
      </w:r>
      <w:r w:rsidR="00C32A63">
        <w:t>per cent</w:t>
      </w:r>
      <w:r w:rsidR="00706443">
        <w:t xml:space="preserve"> (or $263.90 per week) </w:t>
      </w:r>
      <w:r>
        <w:t>meaning w</w:t>
      </w:r>
      <w:r w:rsidR="00C15E2E" w:rsidRPr="00C15E2E">
        <w:t>omen have to work 60 extra days, on average, to earn the equivalent annual salary to men.</w:t>
      </w:r>
      <w:r w:rsidR="00C15E2E" w:rsidRPr="00C15E2E">
        <w:rPr>
          <w:vertAlign w:val="superscript"/>
        </w:rPr>
        <w:footnoteReference w:id="3"/>
      </w:r>
    </w:p>
    <w:p w14:paraId="2C8E7C3C" w14:textId="34E89D2C" w:rsidR="00C15E2E" w:rsidRPr="00B15D1E" w:rsidRDefault="00C15E2E" w:rsidP="00C15E2E">
      <w:pPr>
        <w:pStyle w:val="BulletedList-Level1"/>
        <w:contextualSpacing w:val="0"/>
        <w:rPr>
          <w:lang w:val="en-US"/>
        </w:rPr>
      </w:pPr>
      <w:r>
        <w:lastRenderedPageBreak/>
        <w:t>W</w:t>
      </w:r>
      <w:r w:rsidRPr="00C15E2E">
        <w:t xml:space="preserve">omen enter the labour market with higher qualifications than </w:t>
      </w:r>
      <w:proofErr w:type="gramStart"/>
      <w:r w:rsidRPr="00C15E2E">
        <w:t>men</w:t>
      </w:r>
      <w:proofErr w:type="gramEnd"/>
      <w:r w:rsidR="007E1200">
        <w:t>,</w:t>
      </w:r>
      <w:r w:rsidRPr="00C15E2E">
        <w:t xml:space="preserve"> but earn less on average from the start. In 2021, women undergraduates start their careers earning $2,600 or 3.9</w:t>
      </w:r>
      <w:r w:rsidR="00C32A63">
        <w:t xml:space="preserve"> per cent</w:t>
      </w:r>
      <w:r w:rsidRPr="00C15E2E">
        <w:t xml:space="preserve"> less than their male </w:t>
      </w:r>
      <w:proofErr w:type="gramStart"/>
      <w:r w:rsidRPr="00C15E2E">
        <w:t>counterparts</w:t>
      </w:r>
      <w:proofErr w:type="gramEnd"/>
      <w:r w:rsidRPr="00C15E2E">
        <w:t>. The gap in median starting salaries were significantly larger at $14,000 or 14.1</w:t>
      </w:r>
      <w:r w:rsidR="00C32A63">
        <w:t xml:space="preserve"> per cent</w:t>
      </w:r>
      <w:r w:rsidRPr="00C15E2E">
        <w:t xml:space="preserve"> for men and women with a postgraduate coursework qualification.</w:t>
      </w:r>
      <w:r w:rsidRPr="00C15E2E">
        <w:rPr>
          <w:vertAlign w:val="superscript"/>
        </w:rPr>
        <w:footnoteReference w:id="4"/>
      </w:r>
    </w:p>
    <w:p w14:paraId="71ABF970" w14:textId="52BA6B5D" w:rsidR="00B15D1E" w:rsidRPr="006F5E8D" w:rsidRDefault="000D3679" w:rsidP="006F5E8D">
      <w:pPr>
        <w:pStyle w:val="BulletedList-Level1"/>
      </w:pPr>
      <w:r>
        <w:t>Stud</w:t>
      </w:r>
      <w:r w:rsidR="00D5360D">
        <w:t>ies</w:t>
      </w:r>
      <w:r>
        <w:t xml:space="preserve"> ha</w:t>
      </w:r>
      <w:r w:rsidR="00D5360D">
        <w:t>ve</w:t>
      </w:r>
      <w:r>
        <w:t xml:space="preserve"> shown </w:t>
      </w:r>
      <w:r w:rsidR="00B15D1E">
        <w:t>36</w:t>
      </w:r>
      <w:r w:rsidR="007E1200">
        <w:t xml:space="preserve"> per cent</w:t>
      </w:r>
      <w:r w:rsidR="00B15D1E">
        <w:t xml:space="preserve"> </w:t>
      </w:r>
      <w:r w:rsidR="00B15D1E" w:rsidRPr="006E1CB4">
        <w:t xml:space="preserve">of the </w:t>
      </w:r>
      <w:r w:rsidR="00B15D1E">
        <w:t xml:space="preserve">gender </w:t>
      </w:r>
      <w:r w:rsidR="00B15D1E" w:rsidRPr="006E1CB4">
        <w:t xml:space="preserve">pay gap </w:t>
      </w:r>
      <w:r w:rsidR="00D5360D">
        <w:t>is</w:t>
      </w:r>
      <w:r w:rsidR="00D5360D" w:rsidRPr="006E1CB4">
        <w:t xml:space="preserve"> </w:t>
      </w:r>
      <w:r w:rsidR="00B15D1E" w:rsidRPr="006E1CB4">
        <w:t>due to gender discri</w:t>
      </w:r>
      <w:r w:rsidR="00B15D1E">
        <w:t>mination, followed by 33</w:t>
      </w:r>
      <w:r w:rsidR="00C32A63">
        <w:t xml:space="preserve"> per cent</w:t>
      </w:r>
      <w:r w:rsidR="00B15D1E">
        <w:t xml:space="preserve"> </w:t>
      </w:r>
      <w:r w:rsidR="00B15D1E" w:rsidRPr="006E1CB4">
        <w:t xml:space="preserve">due to care, family and </w:t>
      </w:r>
      <w:r w:rsidR="00B15D1E">
        <w:t>workforce participation, and 24</w:t>
      </w:r>
      <w:r w:rsidR="00C32A63">
        <w:t xml:space="preserve"> per cent</w:t>
      </w:r>
      <w:r w:rsidR="00B15D1E">
        <w:t xml:space="preserve"> </w:t>
      </w:r>
      <w:r w:rsidR="00B15D1E" w:rsidRPr="006E1CB4">
        <w:t>due to job segregation.</w:t>
      </w:r>
      <w:r w:rsidR="00B15D1E">
        <w:rPr>
          <w:rStyle w:val="FootnoteReference"/>
        </w:rPr>
        <w:footnoteReference w:id="5"/>
      </w:r>
      <w:r w:rsidR="00B15D1E" w:rsidRPr="006E1CB4">
        <w:t xml:space="preserve"> </w:t>
      </w:r>
    </w:p>
    <w:p w14:paraId="2897978D" w14:textId="20E5E362" w:rsidR="00C15E2E" w:rsidRPr="00C15E2E" w:rsidRDefault="00C15E2E" w:rsidP="00640147">
      <w:pPr>
        <w:pStyle w:val="Heading2"/>
      </w:pPr>
      <w:r>
        <w:t xml:space="preserve">Workforce participation </w:t>
      </w:r>
    </w:p>
    <w:p w14:paraId="20BC6408" w14:textId="2935FB38" w:rsidR="00B15D1E" w:rsidRPr="00C8474E" w:rsidRDefault="002D2685" w:rsidP="004338D5">
      <w:pPr>
        <w:pStyle w:val="BulletedList-Level1"/>
        <w:contextualSpacing w:val="0"/>
      </w:pPr>
      <w:r w:rsidRPr="00C8474E">
        <w:t>In October 2022, w</w:t>
      </w:r>
      <w:r w:rsidR="00B15D1E" w:rsidRPr="00C8474E">
        <w:t xml:space="preserve">omen’s workforce participation rate </w:t>
      </w:r>
      <w:r w:rsidRPr="00C8474E">
        <w:t xml:space="preserve">was </w:t>
      </w:r>
      <w:r w:rsidR="00B15D1E" w:rsidRPr="00C8474E">
        <w:t>62.3</w:t>
      </w:r>
      <w:r w:rsidR="00C32A63" w:rsidRPr="00C8474E">
        <w:t xml:space="preserve"> per cent</w:t>
      </w:r>
      <w:r w:rsidR="00B15D1E" w:rsidRPr="00C8474E">
        <w:t xml:space="preserve"> compared to </w:t>
      </w:r>
      <w:r w:rsidR="000E009D" w:rsidRPr="00C8474E">
        <w:t xml:space="preserve">70.9 </w:t>
      </w:r>
      <w:r w:rsidR="00C32A63" w:rsidRPr="00C8474E">
        <w:t>per cent</w:t>
      </w:r>
      <w:r w:rsidR="00B15D1E" w:rsidRPr="00C8474E">
        <w:t xml:space="preserve"> for men – a participation gap of 8.</w:t>
      </w:r>
      <w:r w:rsidRPr="00C8474E">
        <w:t xml:space="preserve">6 </w:t>
      </w:r>
      <w:r w:rsidR="00B15D1E" w:rsidRPr="00C8474E">
        <w:t>percentage points. This gap has persisted over the last 10 years and is narrowing at a slow rate. The workforce participation gap was 13 percentage points in August 2012.</w:t>
      </w:r>
    </w:p>
    <w:p w14:paraId="522527A7" w14:textId="72E35845" w:rsidR="00A01596" w:rsidRPr="007D6C86" w:rsidRDefault="00213F64" w:rsidP="00A01596">
      <w:pPr>
        <w:pStyle w:val="BulletedList-Level1"/>
        <w:contextualSpacing w:val="0"/>
      </w:pPr>
      <w:r w:rsidRPr="007D6C86">
        <w:t xml:space="preserve">While </w:t>
      </w:r>
      <w:r w:rsidR="007E1200" w:rsidRPr="007D6C86">
        <w:t>w</w:t>
      </w:r>
      <w:r w:rsidR="00D2559D" w:rsidRPr="007D6C86">
        <w:t xml:space="preserve">omen and men’s unemployment rates </w:t>
      </w:r>
      <w:r w:rsidR="007E1200" w:rsidRPr="007D6C86">
        <w:t xml:space="preserve">have </w:t>
      </w:r>
      <w:r w:rsidR="00D2559D" w:rsidRPr="007D6C86">
        <w:t>remain</w:t>
      </w:r>
      <w:r w:rsidR="007B1A0C" w:rsidRPr="007D6C86">
        <w:t>ed</w:t>
      </w:r>
      <w:r w:rsidR="00D2559D" w:rsidRPr="007D6C86">
        <w:t xml:space="preserve"> </w:t>
      </w:r>
      <w:r w:rsidRPr="007D6C86">
        <w:t>around 4</w:t>
      </w:r>
      <w:r w:rsidR="007E1200" w:rsidRPr="007D6C86">
        <w:t xml:space="preserve"> per cent</w:t>
      </w:r>
      <w:r w:rsidRPr="007D6C86">
        <w:t xml:space="preserve"> (3.6</w:t>
      </w:r>
      <w:r w:rsidR="007E1200" w:rsidRPr="007D6C86">
        <w:t xml:space="preserve"> per cent</w:t>
      </w:r>
      <w:r w:rsidRPr="007D6C86">
        <w:t xml:space="preserve"> and 3.</w:t>
      </w:r>
      <w:r w:rsidR="00BD32F6" w:rsidRPr="007D6C86">
        <w:t xml:space="preserve">2 </w:t>
      </w:r>
      <w:r w:rsidR="007E1200" w:rsidRPr="007D6C86">
        <w:t>per cent</w:t>
      </w:r>
      <w:r w:rsidRPr="007D6C86">
        <w:t xml:space="preserve"> respectively) over</w:t>
      </w:r>
      <w:r w:rsidR="00D2559D" w:rsidRPr="007D6C86">
        <w:t xml:space="preserve"> the past two decades</w:t>
      </w:r>
      <w:r w:rsidRPr="007D6C86">
        <w:t xml:space="preserve">, </w:t>
      </w:r>
      <w:r w:rsidR="007E1200" w:rsidRPr="007D6C86">
        <w:t xml:space="preserve">the </w:t>
      </w:r>
      <w:r w:rsidR="00D2559D" w:rsidRPr="007D6C86">
        <w:t>w</w:t>
      </w:r>
      <w:r w:rsidR="00A325F3" w:rsidRPr="007D6C86">
        <w:t>omen’</w:t>
      </w:r>
      <w:r w:rsidR="001C2BFB" w:rsidRPr="007D6C86">
        <w:t>s under</w:t>
      </w:r>
      <w:r w:rsidR="00A325F3" w:rsidRPr="007D6C86">
        <w:t>employment rat</w:t>
      </w:r>
      <w:r w:rsidR="00D2559D" w:rsidRPr="007D6C86">
        <w:t>e</w:t>
      </w:r>
      <w:r w:rsidR="00A325F3" w:rsidRPr="007D6C86">
        <w:t xml:space="preserve"> is </w:t>
      </w:r>
      <w:r w:rsidR="00D2559D" w:rsidRPr="007D6C86">
        <w:t>7.</w:t>
      </w:r>
      <w:r w:rsidR="00BD32F6" w:rsidRPr="007D6C86">
        <w:t xml:space="preserve">1 </w:t>
      </w:r>
      <w:r w:rsidR="007E1200" w:rsidRPr="007D6C86">
        <w:t>per cent</w:t>
      </w:r>
      <w:r w:rsidR="00D2559D" w:rsidRPr="007D6C86">
        <w:t xml:space="preserve"> compared to </w:t>
      </w:r>
      <w:r w:rsidR="00BD32F6" w:rsidRPr="007D6C86">
        <w:t xml:space="preserve">4.9 </w:t>
      </w:r>
      <w:r w:rsidR="007E1200" w:rsidRPr="007D6C86">
        <w:t>per cent</w:t>
      </w:r>
      <w:r w:rsidR="00D2559D" w:rsidRPr="007D6C86">
        <w:t xml:space="preserve"> for men</w:t>
      </w:r>
      <w:r w:rsidRPr="007D6C86">
        <w:t>.</w:t>
      </w:r>
      <w:r w:rsidR="00A01596" w:rsidRPr="007D6C86">
        <w:t xml:space="preserve"> While women working part-time worked slightly more hours (18.9 hours per week) than men working part-time (18.4 hours per week), for those working full-time, women worked considerably fewer hours on average than men) 39.9 hours per week compared to 42.9 hours per week for men.</w:t>
      </w:r>
      <w:r w:rsidR="00A01596" w:rsidRPr="007D6C86">
        <w:rPr>
          <w:rStyle w:val="FootnoteReference"/>
        </w:rPr>
        <w:footnoteReference w:id="6"/>
      </w:r>
    </w:p>
    <w:p w14:paraId="76563E20" w14:textId="30F702DA" w:rsidR="00B15D1E" w:rsidRPr="008F143A" w:rsidRDefault="00B15D1E" w:rsidP="004338D5">
      <w:pPr>
        <w:pStyle w:val="BulletedList-Level1"/>
        <w:contextualSpacing w:val="0"/>
      </w:pPr>
      <w:r w:rsidRPr="008F143A">
        <w:t>Women make up 39</w:t>
      </w:r>
      <w:r w:rsidR="007E1200">
        <w:t xml:space="preserve"> per cent</w:t>
      </w:r>
      <w:r w:rsidRPr="008F143A">
        <w:t xml:space="preserve"> of all full-time workers </w:t>
      </w:r>
      <w:r w:rsidR="007E1200">
        <w:t>and</w:t>
      </w:r>
      <w:r w:rsidR="007E1200" w:rsidRPr="008F143A">
        <w:t xml:space="preserve"> </w:t>
      </w:r>
      <w:r w:rsidRPr="008F143A">
        <w:t>68</w:t>
      </w:r>
      <w:r w:rsidR="007E1200">
        <w:t xml:space="preserve"> per cent</w:t>
      </w:r>
      <w:r w:rsidRPr="008F143A">
        <w:t xml:space="preserve"> of part-time workers.</w:t>
      </w:r>
      <w:r w:rsidRPr="008F143A">
        <w:rPr>
          <w:rStyle w:val="FootnoteReference"/>
        </w:rPr>
        <w:footnoteReference w:id="7"/>
      </w:r>
      <w:r w:rsidRPr="008F143A">
        <w:t xml:space="preserve"> </w:t>
      </w:r>
      <w:r>
        <w:t xml:space="preserve">This trend has remained relatively unchanged over the last decade. In August 2012, women made up </w:t>
      </w:r>
      <w:r w:rsidRPr="008F143A">
        <w:t>35</w:t>
      </w:r>
      <w:r w:rsidR="007E1200">
        <w:t xml:space="preserve"> per cent</w:t>
      </w:r>
      <w:r w:rsidRPr="008F143A">
        <w:t xml:space="preserve"> of all full-time workers and 71</w:t>
      </w:r>
      <w:r w:rsidR="007E1200">
        <w:t xml:space="preserve"> per cent</w:t>
      </w:r>
      <w:r w:rsidRPr="008F143A">
        <w:t xml:space="preserve"> of all </w:t>
      </w:r>
      <w:r>
        <w:t>part-time workers</w:t>
      </w:r>
      <w:r w:rsidRPr="008F143A">
        <w:t>.</w:t>
      </w:r>
      <w:r w:rsidRPr="008F143A">
        <w:rPr>
          <w:vertAlign w:val="superscript"/>
        </w:rPr>
        <w:footnoteReference w:id="8"/>
      </w:r>
    </w:p>
    <w:p w14:paraId="6AAFB213" w14:textId="0F354089" w:rsidR="00B15D1E" w:rsidRPr="00B15D1E" w:rsidRDefault="00B15D1E" w:rsidP="004338D5">
      <w:pPr>
        <w:pStyle w:val="BulletedList-Level1"/>
        <w:contextualSpacing w:val="0"/>
      </w:pPr>
      <w:r w:rsidRPr="006E1CB4">
        <w:t xml:space="preserve">At every age, </w:t>
      </w:r>
      <w:r>
        <w:rPr>
          <w:bCs/>
        </w:rPr>
        <w:t>less than 50</w:t>
      </w:r>
      <w:r w:rsidR="007E1200">
        <w:rPr>
          <w:bCs/>
        </w:rPr>
        <w:t xml:space="preserve"> per cent</w:t>
      </w:r>
      <w:r>
        <w:rPr>
          <w:bCs/>
        </w:rPr>
        <w:t xml:space="preserve"> </w:t>
      </w:r>
      <w:r w:rsidRPr="006E1CB4">
        <w:rPr>
          <w:bCs/>
        </w:rPr>
        <w:t>of women are working full time and they earn less money over a lifetime than men</w:t>
      </w:r>
      <w:r>
        <w:t xml:space="preserve">. </w:t>
      </w:r>
      <w:r w:rsidR="008A0847">
        <w:t xml:space="preserve">Following the arrival of children, women typically make significant and long-term adjustments to their paid employment, while men’s employment remains largely unchanged. </w:t>
      </w:r>
      <w:r>
        <w:t xml:space="preserve">After age 35, women are more than twice as likely as men to be working part-time and </w:t>
      </w:r>
      <w:proofErr w:type="gramStart"/>
      <w:r>
        <w:t>casually</w:t>
      </w:r>
      <w:proofErr w:type="gramEnd"/>
      <w:r>
        <w:t>.</w:t>
      </w:r>
      <w:r w:rsidRPr="006E1CB4">
        <w:rPr>
          <w:vertAlign w:val="superscript"/>
        </w:rPr>
        <w:footnoteReference w:id="9"/>
      </w:r>
    </w:p>
    <w:p w14:paraId="235DAD09" w14:textId="08F98B5C" w:rsidR="00233E77" w:rsidRPr="00233E77" w:rsidRDefault="00233E77" w:rsidP="004338D5">
      <w:pPr>
        <w:pStyle w:val="BulletedList-Level1"/>
        <w:contextualSpacing w:val="0"/>
        <w:rPr>
          <w:lang w:val="en-US"/>
        </w:rPr>
      </w:pPr>
      <w:r w:rsidRPr="00233E77">
        <w:lastRenderedPageBreak/>
        <w:t>Closing the workforce participation gap between women and men would increase Gross Domestic Product (GDP) by 8.7</w:t>
      </w:r>
      <w:r w:rsidR="008368FA">
        <w:t xml:space="preserve"> per cent</w:t>
      </w:r>
      <w:r w:rsidRPr="00233E77">
        <w:t xml:space="preserve"> or $353 billion by 2050</w:t>
      </w:r>
      <w:r w:rsidR="000D3679">
        <w:t xml:space="preserve">. It will create an additional </w:t>
      </w:r>
      <w:r w:rsidRPr="00233E77">
        <w:t>1 million full-time equivalent workers with post-school qualifications.</w:t>
      </w:r>
      <w:r w:rsidRPr="00233E77">
        <w:rPr>
          <w:vertAlign w:val="superscript"/>
        </w:rPr>
        <w:footnoteReference w:id="10"/>
      </w:r>
    </w:p>
    <w:p w14:paraId="47262584" w14:textId="27E236CD" w:rsidR="00060346" w:rsidRPr="00233E77" w:rsidRDefault="00060346" w:rsidP="00060346">
      <w:pPr>
        <w:pStyle w:val="BulletedList-Level1"/>
        <w:contextualSpacing w:val="0"/>
        <w:rPr>
          <w:lang w:val="en-US"/>
        </w:rPr>
      </w:pPr>
      <w:r>
        <w:rPr>
          <w:lang w:val="en-US"/>
        </w:rPr>
        <w:t>Women are over</w:t>
      </w:r>
      <w:r w:rsidRPr="00060346">
        <w:rPr>
          <w:lang w:val="en-US"/>
        </w:rPr>
        <w:t>represented in casual work (54.6</w:t>
      </w:r>
      <w:r w:rsidR="008368FA">
        <w:rPr>
          <w:lang w:val="en-US"/>
        </w:rPr>
        <w:t xml:space="preserve"> per cent</w:t>
      </w:r>
      <w:r w:rsidRPr="00060346">
        <w:rPr>
          <w:lang w:val="en-US"/>
        </w:rPr>
        <w:t xml:space="preserve">), </w:t>
      </w:r>
      <w:r>
        <w:rPr>
          <w:lang w:val="en-US"/>
        </w:rPr>
        <w:t xml:space="preserve">and </w:t>
      </w:r>
      <w:r w:rsidRPr="00060346">
        <w:rPr>
          <w:lang w:val="en-US"/>
        </w:rPr>
        <w:t>make up nearly 60</w:t>
      </w:r>
      <w:r w:rsidR="008368FA">
        <w:rPr>
          <w:lang w:val="en-US"/>
        </w:rPr>
        <w:t xml:space="preserve"> per cent</w:t>
      </w:r>
      <w:r w:rsidR="00F811E9">
        <w:rPr>
          <w:lang w:val="en-US"/>
        </w:rPr>
        <w:t xml:space="preserve"> </w:t>
      </w:r>
      <w:r w:rsidRPr="00060346">
        <w:rPr>
          <w:lang w:val="en-US"/>
        </w:rPr>
        <w:t>of workers on fixed-term</w:t>
      </w:r>
      <w:r>
        <w:rPr>
          <w:lang w:val="en-US"/>
        </w:rPr>
        <w:t xml:space="preserve"> </w:t>
      </w:r>
      <w:r w:rsidRPr="00060346">
        <w:rPr>
          <w:lang w:val="en-US"/>
        </w:rPr>
        <w:t xml:space="preserve">contracts. Part-time and casual work </w:t>
      </w:r>
      <w:r w:rsidR="00E0210B">
        <w:rPr>
          <w:lang w:val="en-US"/>
        </w:rPr>
        <w:t>offer</w:t>
      </w:r>
      <w:r w:rsidRPr="00060346">
        <w:rPr>
          <w:lang w:val="en-US"/>
        </w:rPr>
        <w:t xml:space="preserve"> flexibility to manage unpaid caring </w:t>
      </w:r>
      <w:r>
        <w:rPr>
          <w:lang w:val="en-US"/>
        </w:rPr>
        <w:t>responsibilities</w:t>
      </w:r>
      <w:r w:rsidR="00E0210B">
        <w:rPr>
          <w:lang w:val="en-US"/>
        </w:rPr>
        <w:t>, but are</w:t>
      </w:r>
      <w:r w:rsidRPr="00060346">
        <w:rPr>
          <w:lang w:val="en-US"/>
        </w:rPr>
        <w:t xml:space="preserve"> also less secure and lower paid</w:t>
      </w:r>
      <w:r w:rsidR="008368FA">
        <w:rPr>
          <w:lang w:val="en-US"/>
        </w:rPr>
        <w:t>,</w:t>
      </w:r>
      <w:r w:rsidRPr="00060346">
        <w:rPr>
          <w:lang w:val="en-US"/>
        </w:rPr>
        <w:t xml:space="preserve"> with less opportunity for career</w:t>
      </w:r>
      <w:r w:rsidR="00E0210B">
        <w:rPr>
          <w:lang w:val="en-US"/>
        </w:rPr>
        <w:t xml:space="preserve"> </w:t>
      </w:r>
      <w:r w:rsidRPr="00060346">
        <w:rPr>
          <w:lang w:val="en-US"/>
        </w:rPr>
        <w:t>progression</w:t>
      </w:r>
      <w:r w:rsidR="00E0210B">
        <w:rPr>
          <w:lang w:val="en-US"/>
        </w:rPr>
        <w:t>.</w:t>
      </w:r>
      <w:r w:rsidR="00F811E9">
        <w:rPr>
          <w:rStyle w:val="FootnoteReference"/>
          <w:lang w:val="en-US"/>
        </w:rPr>
        <w:footnoteReference w:id="11"/>
      </w:r>
    </w:p>
    <w:p w14:paraId="1B4A7515" w14:textId="2B067A6C" w:rsidR="00F1116B" w:rsidRPr="004017C5" w:rsidRDefault="00F1116B" w:rsidP="00E0210B">
      <w:pPr>
        <w:pStyle w:val="BulletedList-Level1"/>
        <w:contextualSpacing w:val="0"/>
        <w:rPr>
          <w:lang w:val="en-US"/>
        </w:rPr>
      </w:pPr>
      <w:r>
        <w:t>Rates of insecure work in Australia are higher amongst cohorts who are socially and economically disadvantaged, including women, young people, Aboriginal and Torres Strait Islander peoples, migrants and people with disability.</w:t>
      </w:r>
    </w:p>
    <w:p w14:paraId="53809B21" w14:textId="02BA1D8F" w:rsidR="00F066F7" w:rsidRPr="007D6C86" w:rsidRDefault="00F1116B" w:rsidP="00E0210B">
      <w:pPr>
        <w:pStyle w:val="BulletedList-Level1"/>
        <w:contextualSpacing w:val="0"/>
        <w:rPr>
          <w:lang w:val="en-US"/>
        </w:rPr>
      </w:pPr>
      <w:r w:rsidRPr="007D6C86">
        <w:t xml:space="preserve">Remote working and other flexible working practices </w:t>
      </w:r>
      <w:r w:rsidR="00011B38" w:rsidRPr="007D6C86">
        <w:t xml:space="preserve">can be </w:t>
      </w:r>
      <w:r w:rsidRPr="007D6C86">
        <w:t>key enablers of gender equality, supporting more women to stay in the workforce</w:t>
      </w:r>
      <w:r w:rsidR="00E85E3B" w:rsidRPr="007D6C86">
        <w:t>,</w:t>
      </w:r>
      <w:r w:rsidRPr="007D6C86">
        <w:t xml:space="preserve"> and more men to take on a greater share of caring responsibilities. </w:t>
      </w:r>
      <w:r w:rsidR="00011B38" w:rsidRPr="007D6C86">
        <w:t>D</w:t>
      </w:r>
      <w:r w:rsidR="00F066F7" w:rsidRPr="007D6C86">
        <w:t>uring the pandemic lockdown, research show</w:t>
      </w:r>
      <w:r w:rsidR="00011B38" w:rsidRPr="007D6C86">
        <w:t>ed</w:t>
      </w:r>
      <w:r w:rsidR="00F066F7" w:rsidRPr="007D6C86">
        <w:t xml:space="preserve"> </w:t>
      </w:r>
      <w:r w:rsidR="00B42E72" w:rsidRPr="007D6C86">
        <w:t xml:space="preserve">the </w:t>
      </w:r>
      <w:r w:rsidR="00011B38" w:rsidRPr="007D6C86">
        <w:t xml:space="preserve">additional </w:t>
      </w:r>
      <w:r w:rsidR="00B42E72" w:rsidRPr="007D6C86">
        <w:t xml:space="preserve">unpaid care work (e.g. home schooling) </w:t>
      </w:r>
      <w:proofErr w:type="gramStart"/>
      <w:r w:rsidR="00F066F7" w:rsidRPr="007D6C86">
        <w:t>w</w:t>
      </w:r>
      <w:r w:rsidR="00B53A05" w:rsidRPr="007D6C86">
        <w:t xml:space="preserve">as </w:t>
      </w:r>
      <w:r w:rsidR="00F066F7" w:rsidRPr="007D6C86">
        <w:t>not shared</w:t>
      </w:r>
      <w:proofErr w:type="gramEnd"/>
      <w:r w:rsidR="00F066F7" w:rsidRPr="007D6C86">
        <w:t xml:space="preserve"> equitably between men and women. Women, especially</w:t>
      </w:r>
      <w:r w:rsidR="001C6CD0" w:rsidRPr="007D6C86">
        <w:t xml:space="preserve"> mothers with school-aged children</w:t>
      </w:r>
      <w:r w:rsidR="00B53A05" w:rsidRPr="007D6C86">
        <w:t>,</w:t>
      </w:r>
      <w:r w:rsidR="001C6CD0" w:rsidRPr="007D6C86">
        <w:t xml:space="preserve"> undertook most of the </w:t>
      </w:r>
      <w:r w:rsidR="00B42E72" w:rsidRPr="007D6C86">
        <w:t>new</w:t>
      </w:r>
      <w:r w:rsidR="001C6CD0" w:rsidRPr="007D6C86">
        <w:t xml:space="preserve"> </w:t>
      </w:r>
      <w:r w:rsidR="00B42E72" w:rsidRPr="007D6C86">
        <w:t xml:space="preserve">unpaid </w:t>
      </w:r>
      <w:r w:rsidR="001C6CD0" w:rsidRPr="007D6C86">
        <w:t xml:space="preserve">care work </w:t>
      </w:r>
      <w:r w:rsidR="00B42E72" w:rsidRPr="007D6C86">
        <w:t>on top of the pre-pandemic care load.</w:t>
      </w:r>
      <w:r w:rsidR="00B42E72" w:rsidRPr="007D6C86">
        <w:rPr>
          <w:rStyle w:val="FootnoteReference"/>
        </w:rPr>
        <w:footnoteReference w:id="12"/>
      </w:r>
    </w:p>
    <w:p w14:paraId="32935993" w14:textId="1F13BE84" w:rsidR="00F1116B" w:rsidRPr="00E0210B" w:rsidRDefault="00F1116B" w:rsidP="00E0210B">
      <w:pPr>
        <w:pStyle w:val="BulletedList-Level1"/>
        <w:contextualSpacing w:val="0"/>
        <w:rPr>
          <w:lang w:val="en-US"/>
        </w:rPr>
      </w:pPr>
      <w:r>
        <w:t>It is essential that flexible work</w:t>
      </w:r>
      <w:r w:rsidR="009259C7">
        <w:t xml:space="preserve"> </w:t>
      </w:r>
      <w:r w:rsidR="00B57096">
        <w:t>practices</w:t>
      </w:r>
      <w:r w:rsidR="009259C7">
        <w:t xml:space="preserve"> </w:t>
      </w:r>
      <w:proofErr w:type="gramStart"/>
      <w:r w:rsidR="00B57096">
        <w:t>are</w:t>
      </w:r>
      <w:r w:rsidR="009259C7">
        <w:t xml:space="preserve"> embraced</w:t>
      </w:r>
      <w:proofErr w:type="gramEnd"/>
      <w:r w:rsidR="009259C7">
        <w:t xml:space="preserve"> by business and employers and </w:t>
      </w:r>
      <w:r w:rsidR="00B57096">
        <w:t>are</w:t>
      </w:r>
      <w:r>
        <w:t xml:space="preserve"> normalised and taken up by </w:t>
      </w:r>
      <w:r w:rsidR="004017C5">
        <w:t>all genders</w:t>
      </w:r>
      <w:r>
        <w:t>, senior leaders and people without caring responsibilities</w:t>
      </w:r>
      <w:r w:rsidR="004017C5">
        <w:t xml:space="preserve"> to ensure people who work flexibly are not penalised.</w:t>
      </w:r>
    </w:p>
    <w:p w14:paraId="4DA4321B" w14:textId="19E9218E" w:rsidR="008D648D" w:rsidRPr="008D648D" w:rsidRDefault="004F4FB7" w:rsidP="00640147">
      <w:pPr>
        <w:pStyle w:val="Heading2"/>
      </w:pPr>
      <w:r w:rsidRPr="008D648D">
        <w:t>Gender segregation in i</w:t>
      </w:r>
      <w:r w:rsidR="00233E77" w:rsidRPr="008D648D">
        <w:t>ndustr</w:t>
      </w:r>
      <w:r w:rsidRPr="008D648D">
        <w:t>ies and</w:t>
      </w:r>
      <w:r w:rsidR="00233E77" w:rsidRPr="008D648D">
        <w:t xml:space="preserve"> occupation</w:t>
      </w:r>
      <w:r w:rsidRPr="008D648D">
        <w:t>s</w:t>
      </w:r>
      <w:r w:rsidR="00233E77" w:rsidRPr="008D648D">
        <w:t xml:space="preserve"> </w:t>
      </w:r>
    </w:p>
    <w:p w14:paraId="3199442E" w14:textId="7CDE66D5" w:rsidR="004F4FB7" w:rsidRDefault="004F4FB7" w:rsidP="004F4FB7">
      <w:pPr>
        <w:pStyle w:val="BulletedList-Level1"/>
        <w:contextualSpacing w:val="0"/>
      </w:pPr>
      <w:proofErr w:type="gramStart"/>
      <w:r w:rsidRPr="004F4FB7">
        <w:t xml:space="preserve">Industry and occupation gender segregation </w:t>
      </w:r>
      <w:r>
        <w:t>is</w:t>
      </w:r>
      <w:r w:rsidR="008D648D">
        <w:t xml:space="preserve"> entrenched in t</w:t>
      </w:r>
      <w:r>
        <w:t>he Australian labour market</w:t>
      </w:r>
      <w:r w:rsidR="008D648D">
        <w:t xml:space="preserve"> and </w:t>
      </w:r>
      <w:r w:rsidR="00DF1B60">
        <w:t xml:space="preserve">has </w:t>
      </w:r>
      <w:r>
        <w:t>continued over the last 20 years.</w:t>
      </w:r>
      <w:proofErr w:type="gramEnd"/>
    </w:p>
    <w:p w14:paraId="4930023F" w14:textId="4393B23E" w:rsidR="00233E77" w:rsidRPr="00233E77" w:rsidRDefault="00233E77" w:rsidP="006F5E8D">
      <w:pPr>
        <w:pStyle w:val="BulletedList-Level1"/>
        <w:contextualSpacing w:val="0"/>
      </w:pPr>
      <w:r w:rsidRPr="00233E77">
        <w:t>Across the workforce, women and men are concentrated in different industries. Out of the 19</w:t>
      </w:r>
      <w:r w:rsidR="00E85E3B">
        <w:t> </w:t>
      </w:r>
      <w:r w:rsidRPr="00233E77">
        <w:t>industries in Australia, only seven have gender-balanced workforces (at least 40</w:t>
      </w:r>
      <w:r w:rsidR="00E85E3B">
        <w:t xml:space="preserve"> per cent</w:t>
      </w:r>
      <w:r w:rsidRPr="00233E77">
        <w:t xml:space="preserve"> women and 40</w:t>
      </w:r>
      <w:r w:rsidR="00E85E3B">
        <w:t xml:space="preserve"> per cent</w:t>
      </w:r>
      <w:r w:rsidRPr="00233E77">
        <w:t xml:space="preserve"> men). Women continue to be concentrated in Health Care and Social Assistance as well as Education and Training. While men are concentrated in Mining, Electricity, Gas, Water and Waste Services, Construction, and Manufacturing.</w:t>
      </w:r>
      <w:r w:rsidRPr="00233E77">
        <w:rPr>
          <w:vertAlign w:val="superscript"/>
        </w:rPr>
        <w:footnoteReference w:id="13"/>
      </w:r>
      <w:r w:rsidRPr="00233E77">
        <w:t xml:space="preserve"> </w:t>
      </w:r>
    </w:p>
    <w:p w14:paraId="1BFD0DEA" w14:textId="33A58C0B" w:rsidR="00700BB4" w:rsidRPr="00213F64" w:rsidRDefault="00233E77" w:rsidP="006F5E8D">
      <w:pPr>
        <w:pStyle w:val="BulletedList-Level1"/>
        <w:contextualSpacing w:val="0"/>
        <w:rPr>
          <w:lang w:val="en-US"/>
        </w:rPr>
      </w:pPr>
      <w:r w:rsidRPr="00233E77">
        <w:lastRenderedPageBreak/>
        <w:t>Female</w:t>
      </w:r>
      <w:r w:rsidR="001943FC">
        <w:t>-</w:t>
      </w:r>
      <w:r w:rsidRPr="00233E77">
        <w:t>dominated industries often have lower average wages than male</w:t>
      </w:r>
      <w:r w:rsidR="001943FC">
        <w:t>-</w:t>
      </w:r>
      <w:r w:rsidRPr="00233E77">
        <w:t>dominated industries, regardless of educational attainment.</w:t>
      </w:r>
      <w:r w:rsidRPr="00233E77">
        <w:rPr>
          <w:vertAlign w:val="superscript"/>
        </w:rPr>
        <w:footnoteReference w:id="14"/>
      </w:r>
    </w:p>
    <w:p w14:paraId="6F4E6954" w14:textId="210B0F6E" w:rsidR="00FA043D" w:rsidRPr="001776A6" w:rsidRDefault="00FA043D" w:rsidP="006F5E8D">
      <w:pPr>
        <w:pStyle w:val="BulletedList-Level1"/>
        <w:contextualSpacing w:val="0"/>
        <w:rPr>
          <w:lang w:val="en-US"/>
        </w:rPr>
      </w:pPr>
      <w:proofErr w:type="gramStart"/>
      <w:r>
        <w:t>Trade apprenticeships</w:t>
      </w:r>
      <w:r w:rsidR="00F066F7">
        <w:t xml:space="preserve"> in male-dominated industries</w:t>
      </w:r>
      <w:r>
        <w:t xml:space="preserve"> are less commonly undertaken by women</w:t>
      </w:r>
      <w:proofErr w:type="gramEnd"/>
      <w:r>
        <w:t xml:space="preserve"> than men, with women making up only 8.</w:t>
      </w:r>
      <w:r w:rsidR="00213F64">
        <w:t>2</w:t>
      </w:r>
      <w:r w:rsidR="008A6674">
        <w:t xml:space="preserve"> per cent</w:t>
      </w:r>
      <w:r>
        <w:t xml:space="preserve"> of current “traditional” trade apprenticeships (trade apprenticeships excluding hairdressers, animal attendants and trainers, and veterinary nurses)</w:t>
      </w:r>
      <w:r w:rsidR="00B57096">
        <w:t>.</w:t>
      </w:r>
      <w:r>
        <w:rPr>
          <w:rStyle w:val="FootnoteReference"/>
        </w:rPr>
        <w:footnoteReference w:id="15"/>
      </w:r>
    </w:p>
    <w:p w14:paraId="34B5B5E8" w14:textId="678443C2" w:rsidR="001776A6" w:rsidRPr="001776A6" w:rsidRDefault="001776A6" w:rsidP="001776A6">
      <w:pPr>
        <w:pStyle w:val="BulletedList-Level1"/>
        <w:contextualSpacing w:val="0"/>
      </w:pPr>
      <w:r w:rsidRPr="001776A6" w:rsidDel="008D3B77">
        <w:t xml:space="preserve">Women and girls are more likely to </w:t>
      </w:r>
      <w:proofErr w:type="gramStart"/>
      <w:r w:rsidRPr="001776A6" w:rsidDel="008D3B77">
        <w:t>be enrolled</w:t>
      </w:r>
      <w:proofErr w:type="gramEnd"/>
      <w:r w:rsidRPr="001776A6" w:rsidDel="008D3B77">
        <w:t xml:space="preserve"> in traineeships or apprenticeships for work in feminised and low paid industries with poor job and income </w:t>
      </w:r>
      <w:r w:rsidR="008C6154">
        <w:t>security</w:t>
      </w:r>
      <w:r w:rsidRPr="001776A6" w:rsidDel="008D3B77">
        <w:t xml:space="preserve">, as opposed to </w:t>
      </w:r>
      <w:r w:rsidR="009259C7">
        <w:t>male-dominated</w:t>
      </w:r>
      <w:r w:rsidRPr="001776A6" w:rsidDel="008D3B77">
        <w:t xml:space="preserve"> trades with high financial remuneration and stable employment.</w:t>
      </w:r>
      <w:r w:rsidR="00795086">
        <w:t xml:space="preserve"> </w:t>
      </w:r>
    </w:p>
    <w:p w14:paraId="17F316A3" w14:textId="6C1BDBAD" w:rsidR="00232702" w:rsidRPr="006F5E8D" w:rsidRDefault="00232702" w:rsidP="006F5E8D">
      <w:pPr>
        <w:pStyle w:val="BulletedList-Level1"/>
        <w:contextualSpacing w:val="0"/>
        <w:rPr>
          <w:lang w:val="en-US"/>
        </w:rPr>
      </w:pPr>
      <w:r>
        <w:rPr>
          <w:lang w:val="en-US"/>
        </w:rPr>
        <w:t xml:space="preserve">Occupations </w:t>
      </w:r>
      <w:proofErr w:type="gramStart"/>
      <w:r>
        <w:rPr>
          <w:lang w:val="en-US"/>
        </w:rPr>
        <w:t>are also gendered</w:t>
      </w:r>
      <w:proofErr w:type="gramEnd"/>
      <w:r>
        <w:rPr>
          <w:lang w:val="en-US"/>
        </w:rPr>
        <w:t xml:space="preserve">. </w:t>
      </w:r>
      <w:r w:rsidR="004338D5" w:rsidRPr="004338D5">
        <w:t xml:space="preserve">Women are less likely to be in management and technical roles. </w:t>
      </w:r>
      <w:r w:rsidR="004338D5">
        <w:t>Just</w:t>
      </w:r>
      <w:r w:rsidR="004338D5" w:rsidRPr="004338D5">
        <w:t xml:space="preserve"> </w:t>
      </w:r>
      <w:r w:rsidR="004338D5">
        <w:t>39.3</w:t>
      </w:r>
      <w:r w:rsidR="00CB7BF1">
        <w:t xml:space="preserve"> </w:t>
      </w:r>
      <w:r w:rsidR="000D0A42">
        <w:t>per cent</w:t>
      </w:r>
      <w:r w:rsidR="004338D5">
        <w:t xml:space="preserve"> of managers and 16.8</w:t>
      </w:r>
      <w:r w:rsidR="000D0A42">
        <w:t xml:space="preserve"> per cent</w:t>
      </w:r>
      <w:r w:rsidR="004338D5">
        <w:t xml:space="preserve"> of technicians and trade workers are women; compared to </w:t>
      </w:r>
      <w:r w:rsidR="006F5E8D">
        <w:t>73.7</w:t>
      </w:r>
      <w:r w:rsidR="000D0A42">
        <w:t xml:space="preserve"> per cent</w:t>
      </w:r>
      <w:r w:rsidR="004338D5">
        <w:t xml:space="preserve"> of clerical workers and </w:t>
      </w:r>
      <w:r w:rsidR="006F5E8D">
        <w:t>69.3</w:t>
      </w:r>
      <w:r w:rsidR="000D0A42">
        <w:t xml:space="preserve"> per cent</w:t>
      </w:r>
      <w:r w:rsidR="004338D5">
        <w:t xml:space="preserve"> for community and personal service workers.</w:t>
      </w:r>
      <w:r w:rsidR="004338D5">
        <w:rPr>
          <w:rStyle w:val="FootnoteReference"/>
        </w:rPr>
        <w:footnoteReference w:id="16"/>
      </w:r>
      <w:r w:rsidR="004338D5">
        <w:t xml:space="preserve"> </w:t>
      </w:r>
    </w:p>
    <w:p w14:paraId="642940F6" w14:textId="1A1B6DBE" w:rsidR="006F5E8D" w:rsidRPr="006F5E8D" w:rsidRDefault="006F5E8D" w:rsidP="006F5E8D">
      <w:pPr>
        <w:pStyle w:val="BulletedList-Level1"/>
        <w:contextualSpacing w:val="0"/>
      </w:pPr>
      <w:r w:rsidRPr="006F5E8D">
        <w:t xml:space="preserve">Shifting each industry’s female-to-male employment ratio to an economy-wide average could boost GDP by up to 10 </w:t>
      </w:r>
      <w:r w:rsidR="000D0A42">
        <w:t>per cent</w:t>
      </w:r>
      <w:r w:rsidRPr="006F5E8D">
        <w:t xml:space="preserve"> due to higher labour productivity.</w:t>
      </w:r>
      <w:r w:rsidRPr="006F5E8D">
        <w:rPr>
          <w:vertAlign w:val="superscript"/>
        </w:rPr>
        <w:footnoteReference w:id="17"/>
      </w:r>
    </w:p>
    <w:p w14:paraId="1DAE17BA" w14:textId="77777777" w:rsidR="006F5E8D" w:rsidRPr="006F5E8D" w:rsidRDefault="006F5E8D" w:rsidP="006F5E8D">
      <w:pPr>
        <w:pStyle w:val="BulletedList-Level1"/>
        <w:contextualSpacing w:val="0"/>
      </w:pPr>
      <w:r w:rsidRPr="006F5E8D">
        <w:t xml:space="preserve">Studies have shown that inclusive workplaces provide stronger value propositions to their employees and </w:t>
      </w:r>
      <w:proofErr w:type="gramStart"/>
      <w:r w:rsidRPr="006F5E8D">
        <w:t>customers,</w:t>
      </w:r>
      <w:proofErr w:type="gramEnd"/>
      <w:r w:rsidRPr="006F5E8D">
        <w:t xml:space="preserve"> have better decision-making processes and stronger financial performance.</w:t>
      </w:r>
      <w:r w:rsidRPr="006F5E8D">
        <w:rPr>
          <w:vertAlign w:val="superscript"/>
        </w:rPr>
        <w:footnoteReference w:id="18"/>
      </w:r>
      <w:r w:rsidRPr="006F5E8D">
        <w:t xml:space="preserve"> </w:t>
      </w:r>
    </w:p>
    <w:p w14:paraId="1DC98E8C" w14:textId="2EDC7AB2" w:rsidR="006F5E8D" w:rsidRPr="006F5E8D" w:rsidRDefault="00657F80" w:rsidP="006F5E8D">
      <w:pPr>
        <w:pStyle w:val="BulletedList-Level1"/>
        <w:contextualSpacing w:val="0"/>
        <w:rPr>
          <w:lang w:val="en-US"/>
        </w:rPr>
      </w:pPr>
      <w:r>
        <w:t>Research</w:t>
      </w:r>
      <w:r w:rsidR="006F5E8D" w:rsidRPr="006F5E8D">
        <w:t xml:space="preserve"> by Bankwest Curtin Economics Centre (BCEC) and Workplace Gender Equality Agency (WGEA) </w:t>
      </w:r>
      <w:r w:rsidR="009259C7">
        <w:t xml:space="preserve">for the Review of WGEA Act 2012 </w:t>
      </w:r>
      <w:r w:rsidR="006F5E8D" w:rsidRPr="006F5E8D">
        <w:t>found that an increase of female ‘top-tier’ managers by 10 percentage points or more led to a 6.6</w:t>
      </w:r>
      <w:r w:rsidR="000D0A42">
        <w:t xml:space="preserve"> per cent</w:t>
      </w:r>
      <w:r w:rsidR="006F5E8D" w:rsidRPr="006F5E8D">
        <w:t xml:space="preserve"> increase in the market value of Australian ASX-listed companies, the equivalent of $104.7 million.</w:t>
      </w:r>
      <w:r w:rsidR="006F5E8D" w:rsidRPr="006F5E8D">
        <w:rPr>
          <w:vertAlign w:val="superscript"/>
        </w:rPr>
        <w:footnoteReference w:id="19"/>
      </w:r>
    </w:p>
    <w:p w14:paraId="04167FFF" w14:textId="612E5FD9" w:rsidR="006F5E8D" w:rsidRPr="00C15E2E" w:rsidRDefault="008A0847" w:rsidP="00640147">
      <w:pPr>
        <w:pStyle w:val="Heading2"/>
        <w:rPr>
          <w:lang w:val="en-US"/>
        </w:rPr>
      </w:pPr>
      <w:r>
        <w:rPr>
          <w:lang w:val="en-US"/>
        </w:rPr>
        <w:t>Career p</w:t>
      </w:r>
      <w:r w:rsidR="006F5E8D">
        <w:rPr>
          <w:lang w:val="en-US"/>
        </w:rPr>
        <w:t>reference</w:t>
      </w:r>
      <w:r>
        <w:rPr>
          <w:lang w:val="en-US"/>
        </w:rPr>
        <w:t>s</w:t>
      </w:r>
      <w:r w:rsidR="006F5E8D">
        <w:rPr>
          <w:lang w:val="en-US"/>
        </w:rPr>
        <w:t xml:space="preserve"> in young adulthood</w:t>
      </w:r>
    </w:p>
    <w:p w14:paraId="215CFA53" w14:textId="18A08B08" w:rsidR="00B15D1E" w:rsidRPr="00663B37" w:rsidRDefault="00B15D1E" w:rsidP="006F5E8D">
      <w:pPr>
        <w:pStyle w:val="BulletedList-Level1"/>
        <w:contextualSpacing w:val="0"/>
        <w:rPr>
          <w:rFonts w:asciiTheme="majorHAnsi" w:eastAsiaTheme="majorEastAsia" w:hAnsiTheme="majorHAnsi" w:cstheme="majorBidi"/>
          <w:color w:val="142844" w:themeColor="accent1" w:themeShade="BF"/>
        </w:rPr>
      </w:pPr>
      <w:r w:rsidRPr="00B65E85">
        <w:t>Girls are outperforming boys in school completion rates. In 2021, 85.5</w:t>
      </w:r>
      <w:r w:rsidR="000D0A42">
        <w:t xml:space="preserve"> per cent</w:t>
      </w:r>
      <w:r w:rsidRPr="00B65E85">
        <w:t xml:space="preserve"> of girls remained at school in Year 12 compared with 77.7</w:t>
      </w:r>
      <w:r w:rsidR="000D0A42">
        <w:t xml:space="preserve"> per cent</w:t>
      </w:r>
      <w:r>
        <w:t xml:space="preserve"> of boys.</w:t>
      </w:r>
      <w:r>
        <w:rPr>
          <w:rStyle w:val="FootnoteReference"/>
        </w:rPr>
        <w:footnoteReference w:id="20"/>
      </w:r>
      <w:r>
        <w:t xml:space="preserve"> However,</w:t>
      </w:r>
      <w:r w:rsidRPr="00B65E85">
        <w:t xml:space="preserve"> </w:t>
      </w:r>
      <w:r>
        <w:t xml:space="preserve">Year 12 </w:t>
      </w:r>
      <w:r w:rsidRPr="00B65E85">
        <w:t xml:space="preserve">subject </w:t>
      </w:r>
      <w:r>
        <w:t xml:space="preserve">enrolment </w:t>
      </w:r>
      <w:r w:rsidRPr="00B65E85">
        <w:lastRenderedPageBreak/>
        <w:t xml:space="preserve">continues to be </w:t>
      </w:r>
      <w:r>
        <w:t>gender-biased,</w:t>
      </w:r>
      <w:r w:rsidR="001776A6">
        <w:t xml:space="preserve"> for example,</w:t>
      </w:r>
      <w:r>
        <w:t xml:space="preserve"> 68</w:t>
      </w:r>
      <w:r w:rsidR="000D0A42">
        <w:t xml:space="preserve"> per cent</w:t>
      </w:r>
      <w:r w:rsidRPr="00B65E85">
        <w:t xml:space="preserve"> of Year 12 boys </w:t>
      </w:r>
      <w:r>
        <w:t>enrolling</w:t>
      </w:r>
      <w:r w:rsidRPr="00B65E85">
        <w:t xml:space="preserve"> in at least one maths subject compared with </w:t>
      </w:r>
      <w:r>
        <w:t>64.7</w:t>
      </w:r>
      <w:r w:rsidR="000D0A42">
        <w:t xml:space="preserve"> per cent</w:t>
      </w:r>
      <w:r>
        <w:t xml:space="preserve"> of girls.</w:t>
      </w:r>
      <w:r>
        <w:rPr>
          <w:rStyle w:val="FootnoteReference"/>
        </w:rPr>
        <w:footnoteReference w:id="21"/>
      </w:r>
      <w:r>
        <w:t xml:space="preserve"> The subject selection bias limits the ability of girls to undertake a wider range of post school study and future career choice.</w:t>
      </w:r>
    </w:p>
    <w:p w14:paraId="06FBFCD3" w14:textId="1B129D73" w:rsidR="00B15D1E" w:rsidRPr="00BC335F" w:rsidRDefault="00B15D1E" w:rsidP="006F5E8D">
      <w:pPr>
        <w:pStyle w:val="BulletedList-Level1"/>
        <w:contextualSpacing w:val="0"/>
      </w:pPr>
      <w:r>
        <w:t xml:space="preserve">Research has shown the top three reasons for wanting to pursue a career were identical for boys and girls. </w:t>
      </w:r>
      <w:r w:rsidR="006E38AB">
        <w:t xml:space="preserve">The top three reasons were ‘having a secure job and income, ‘enjoying the tasks I work on and ‘using my talents’. </w:t>
      </w:r>
      <w:r>
        <w:t>However, girls ranked the need to help other</w:t>
      </w:r>
      <w:r w:rsidR="00D1151E">
        <w:t>s</w:t>
      </w:r>
      <w:r>
        <w:t xml:space="preserve"> as fourth in their reasons for wanting a job while this reason ranked much lower for boys (at 7</w:t>
      </w:r>
      <w:r w:rsidRPr="003F2E59">
        <w:rPr>
          <w:vertAlign w:val="superscript"/>
        </w:rPr>
        <w:t>th</w:t>
      </w:r>
      <w:r>
        <w:t xml:space="preserve"> position).</w:t>
      </w:r>
      <w:r>
        <w:rPr>
          <w:rStyle w:val="FootnoteReference"/>
        </w:rPr>
        <w:footnoteReference w:id="22"/>
      </w:r>
    </w:p>
    <w:p w14:paraId="57DAF71C" w14:textId="74771496" w:rsidR="00D1151E" w:rsidRDefault="00D1151E" w:rsidP="006F5E8D">
      <w:pPr>
        <w:pStyle w:val="BulletedList-Level1"/>
        <w:contextualSpacing w:val="0"/>
      </w:pPr>
      <w:r>
        <w:t>Research has found that girls</w:t>
      </w:r>
      <w:r w:rsidR="001953BA">
        <w:t>’</w:t>
      </w:r>
      <w:r>
        <w:t xml:space="preserve"> interest in STEM careers </w:t>
      </w:r>
      <w:r w:rsidR="00D26B35">
        <w:t xml:space="preserve">generally </w:t>
      </w:r>
      <w:r>
        <w:t>decrease</w:t>
      </w:r>
      <w:r w:rsidR="00D26B35">
        <w:t>s</w:t>
      </w:r>
      <w:r>
        <w:t xml:space="preserve"> as they get older and is lower compared to boys</w:t>
      </w:r>
      <w:r w:rsidR="00D26B35">
        <w:t xml:space="preserve">, and </w:t>
      </w:r>
      <w:r w:rsidR="00FB4822">
        <w:t>this interest is</w:t>
      </w:r>
      <w:r w:rsidR="00D26B35">
        <w:t xml:space="preserve"> lowest for</w:t>
      </w:r>
      <w:r w:rsidR="00FB4822">
        <w:t xml:space="preserve"> engineering</w:t>
      </w:r>
      <w:r w:rsidR="00B201AB">
        <w:t>:</w:t>
      </w:r>
      <w:r w:rsidRPr="00233E77">
        <w:rPr>
          <w:vertAlign w:val="superscript"/>
        </w:rPr>
        <w:footnoteReference w:id="23"/>
      </w:r>
    </w:p>
    <w:p w14:paraId="6DA02BC9" w14:textId="38CEF96F" w:rsidR="00232702" w:rsidRPr="00233E77" w:rsidRDefault="00232702" w:rsidP="00B57096">
      <w:pPr>
        <w:pStyle w:val="BulletedList-Level2"/>
        <w:numPr>
          <w:ilvl w:val="0"/>
          <w:numId w:val="47"/>
        </w:numPr>
      </w:pPr>
      <w:r w:rsidRPr="00233E77">
        <w:t xml:space="preserve">At 12 to 13 years-old, 23 </w:t>
      </w:r>
      <w:r w:rsidR="001953BA">
        <w:t>per cent</w:t>
      </w:r>
      <w:r w:rsidRPr="00233E77">
        <w:t xml:space="preserve"> of girls said they would like to have a STEM career compared to 53</w:t>
      </w:r>
      <w:r w:rsidR="001953BA">
        <w:t xml:space="preserve"> per cent</w:t>
      </w:r>
      <w:r w:rsidRPr="00233E77">
        <w:t xml:space="preserve"> of boys. </w:t>
      </w:r>
      <w:r w:rsidR="004C4C44">
        <w:t xml:space="preserve">Only </w:t>
      </w:r>
      <w:r w:rsidRPr="00233E77">
        <w:t>12</w:t>
      </w:r>
      <w:r w:rsidR="001953BA">
        <w:t xml:space="preserve"> per cent</w:t>
      </w:r>
      <w:r w:rsidRPr="00233E77">
        <w:t xml:space="preserve"> of girls were interested in being an engineer </w:t>
      </w:r>
      <w:r w:rsidR="004C4C44">
        <w:t xml:space="preserve">compared to </w:t>
      </w:r>
      <w:r w:rsidRPr="00233E77">
        <w:t>16</w:t>
      </w:r>
      <w:r w:rsidR="001953BA">
        <w:t xml:space="preserve"> per cent</w:t>
      </w:r>
      <w:r w:rsidRPr="00233E77">
        <w:t xml:space="preserve"> for boys</w:t>
      </w:r>
      <w:r w:rsidR="004C4C44">
        <w:t>.</w:t>
      </w:r>
      <w:r w:rsidR="00AE67EF">
        <w:t xml:space="preserve"> </w:t>
      </w:r>
      <w:r w:rsidR="004C4C44">
        <w:t>B</w:t>
      </w:r>
      <w:r w:rsidRPr="00233E77">
        <w:t>y 18 to 25 years-old</w:t>
      </w:r>
      <w:r w:rsidR="00B201AB">
        <w:t>,</w:t>
      </w:r>
      <w:r w:rsidRPr="00233E77">
        <w:t xml:space="preserve"> only 5</w:t>
      </w:r>
      <w:r w:rsidR="001953BA">
        <w:t xml:space="preserve"> per cent</w:t>
      </w:r>
      <w:r w:rsidRPr="00233E77">
        <w:t xml:space="preserve"> of </w:t>
      </w:r>
      <w:r w:rsidR="00413ABE">
        <w:t>young women</w:t>
      </w:r>
      <w:r w:rsidR="00413ABE" w:rsidRPr="00233E77">
        <w:t xml:space="preserve"> </w:t>
      </w:r>
      <w:r w:rsidRPr="00233E77">
        <w:t xml:space="preserve">were interested </w:t>
      </w:r>
      <w:r w:rsidR="00FB4822">
        <w:t>in an engineering career</w:t>
      </w:r>
      <w:r w:rsidR="00D1151E">
        <w:t>, compared to</w:t>
      </w:r>
      <w:r w:rsidRPr="00233E77">
        <w:t xml:space="preserve"> 14</w:t>
      </w:r>
      <w:r w:rsidR="001953BA">
        <w:t xml:space="preserve"> per cent</w:t>
      </w:r>
      <w:r w:rsidRPr="00233E77">
        <w:t xml:space="preserve"> of </w:t>
      </w:r>
      <w:r w:rsidR="00413ABE">
        <w:t>young men</w:t>
      </w:r>
      <w:r w:rsidRPr="00233E77">
        <w:t>.</w:t>
      </w:r>
      <w:r w:rsidR="00D1151E" w:rsidRPr="00AE67EF" w:rsidDel="00D1151E">
        <w:rPr>
          <w:vertAlign w:val="superscript"/>
        </w:rPr>
        <w:t xml:space="preserve"> </w:t>
      </w:r>
    </w:p>
    <w:p w14:paraId="60E0FB88" w14:textId="7C516EF1" w:rsidR="00C15E2E" w:rsidRPr="006F5E8D" w:rsidRDefault="00232702" w:rsidP="00E7489D">
      <w:pPr>
        <w:pStyle w:val="BulletedList-Level1"/>
        <w:numPr>
          <w:ilvl w:val="0"/>
          <w:numId w:val="44"/>
        </w:numPr>
        <w:contextualSpacing w:val="0"/>
        <w:rPr>
          <w:lang w:val="en-US"/>
        </w:rPr>
      </w:pPr>
      <w:r w:rsidRPr="00233E77">
        <w:t>Results from the OECD Programme of International Student Assessment (PISA) show that 15-year-old girls are, on average, 16 times more likely than 15-year-old boys to report that they want to work as preschool teachers or childcare providers in their future career. On average across the OECD, only 0.2</w:t>
      </w:r>
      <w:r w:rsidR="001953BA">
        <w:t xml:space="preserve"> per cent</w:t>
      </w:r>
      <w:r w:rsidRPr="00233E77">
        <w:t xml:space="preserve"> of boys say they expect to work in early childhood education and care at age 30, compared to 3.2 </w:t>
      </w:r>
      <w:r w:rsidR="001953BA">
        <w:t>per cent</w:t>
      </w:r>
      <w:r w:rsidRPr="00233E77">
        <w:t xml:space="preserve"> of girls.</w:t>
      </w:r>
      <w:r w:rsidRPr="00233E77">
        <w:rPr>
          <w:vertAlign w:val="superscript"/>
        </w:rPr>
        <w:footnoteReference w:id="24"/>
      </w:r>
    </w:p>
    <w:p w14:paraId="560B7E75" w14:textId="77777777" w:rsidR="00700BB4" w:rsidRPr="00700BB4" w:rsidRDefault="00700BB4" w:rsidP="00640147">
      <w:pPr>
        <w:pStyle w:val="Heading1"/>
        <w:rPr>
          <w:highlight w:val="yellow"/>
        </w:rPr>
      </w:pPr>
      <w:r w:rsidRPr="00700BB4">
        <w:t>Drivers of gender inequality</w:t>
      </w:r>
    </w:p>
    <w:p w14:paraId="11FF2E0A" w14:textId="5384F79A" w:rsidR="00700BB4" w:rsidRDefault="004C1C27" w:rsidP="00700BB4">
      <w:pPr>
        <w:spacing w:after="200"/>
        <w:rPr>
          <w:color w:val="0F1F35" w:themeColor="text2"/>
        </w:rPr>
      </w:pPr>
      <w:r>
        <w:t>R</w:t>
      </w:r>
      <w:r w:rsidR="00700BB4" w:rsidRPr="00700BB4">
        <w:t>esearch and stakeholder feedback to date suggest</w:t>
      </w:r>
      <w:r w:rsidR="001766B8">
        <w:t>, but are not limited to,</w:t>
      </w:r>
      <w:r w:rsidR="00700BB4" w:rsidRPr="00700BB4">
        <w:t xml:space="preserve"> the following drivers of gender inequality on </w:t>
      </w:r>
      <w:r w:rsidR="00700BB4">
        <w:rPr>
          <w:color w:val="0F1F35" w:themeColor="text2"/>
        </w:rPr>
        <w:t>employment</w:t>
      </w:r>
      <w:r w:rsidR="00700BB4" w:rsidRPr="00700BB4">
        <w:rPr>
          <w:color w:val="0F1F35" w:themeColor="text2"/>
        </w:rPr>
        <w:t xml:space="preserve">: </w:t>
      </w:r>
    </w:p>
    <w:p w14:paraId="15435FEC" w14:textId="03C7B642" w:rsidR="002807B4" w:rsidRDefault="008A0847" w:rsidP="006E505D">
      <w:pPr>
        <w:pStyle w:val="BulletedList-Level1"/>
        <w:contextualSpacing w:val="0"/>
      </w:pPr>
      <w:r>
        <w:t>Gender norms and stereotypes</w:t>
      </w:r>
      <w:r w:rsidR="002807B4" w:rsidRPr="00350C48">
        <w:t xml:space="preserve"> </w:t>
      </w:r>
      <w:r>
        <w:t xml:space="preserve">are formed early in </w:t>
      </w:r>
      <w:r w:rsidR="002807B4" w:rsidRPr="00350C48">
        <w:t xml:space="preserve">childhood </w:t>
      </w:r>
      <w:r>
        <w:t xml:space="preserve">and </w:t>
      </w:r>
      <w:r w:rsidR="002807B4" w:rsidRPr="00350C48">
        <w:t xml:space="preserve">continue to </w:t>
      </w:r>
      <w:r>
        <w:t xml:space="preserve">unconsciously </w:t>
      </w:r>
      <w:r w:rsidR="002807B4" w:rsidRPr="00350C48">
        <w:t>influence</w:t>
      </w:r>
      <w:r>
        <w:t xml:space="preserve"> and limit young</w:t>
      </w:r>
      <w:r w:rsidR="002807B4" w:rsidRPr="00350C48">
        <w:t xml:space="preserve"> </w:t>
      </w:r>
      <w:r>
        <w:t xml:space="preserve">people’s </w:t>
      </w:r>
      <w:r w:rsidR="002807B4" w:rsidRPr="00350C48">
        <w:t>learning and career choices</w:t>
      </w:r>
      <w:r w:rsidR="00B25DF8">
        <w:t xml:space="preserve">. Gender expectations are already evident </w:t>
      </w:r>
      <w:r w:rsidR="00AE67EF">
        <w:t>when</w:t>
      </w:r>
      <w:r w:rsidR="00B25DF8">
        <w:t xml:space="preserve"> boys and girls are choosing secondary school subjects. </w:t>
      </w:r>
    </w:p>
    <w:p w14:paraId="0E185E72" w14:textId="69E7BA52" w:rsidR="002807B4" w:rsidRPr="00350C48" w:rsidRDefault="00F80BA5" w:rsidP="006E505D">
      <w:pPr>
        <w:pStyle w:val="BulletedList-Level1"/>
        <w:contextualSpacing w:val="0"/>
      </w:pPr>
      <w:r>
        <w:t>A</w:t>
      </w:r>
      <w:r w:rsidR="002807B4" w:rsidRPr="00350C48">
        <w:t xml:space="preserve"> lack of female role models, under-representation and poor sense of belonging </w:t>
      </w:r>
      <w:r>
        <w:t>further discourages</w:t>
      </w:r>
      <w:r w:rsidR="002807B4" w:rsidRPr="00350C48">
        <w:t xml:space="preserve"> women and young girls </w:t>
      </w:r>
      <w:r>
        <w:t>from</w:t>
      </w:r>
      <w:r w:rsidRPr="00350C48">
        <w:t xml:space="preserve"> </w:t>
      </w:r>
      <w:r w:rsidR="002807B4" w:rsidRPr="00350C48">
        <w:t>studying and working in male-dominated industries, such as IT and engineering.</w:t>
      </w:r>
    </w:p>
    <w:p w14:paraId="57EC03F2" w14:textId="69692756" w:rsidR="002807B4" w:rsidRDefault="00F80BA5" w:rsidP="006E505D">
      <w:pPr>
        <w:pStyle w:val="BulletedList-Level1"/>
        <w:contextualSpacing w:val="0"/>
      </w:pPr>
      <w:r>
        <w:lastRenderedPageBreak/>
        <w:t xml:space="preserve">Even as more </w:t>
      </w:r>
      <w:r w:rsidR="002807B4" w:rsidRPr="00350C48">
        <w:t xml:space="preserve">women </w:t>
      </w:r>
      <w:r>
        <w:t xml:space="preserve">choose to enter male-dominated </w:t>
      </w:r>
      <w:r w:rsidR="008D3B77">
        <w:t>fields like STEM,</w:t>
      </w:r>
      <w:r w:rsidR="002807B4" w:rsidRPr="00350C48">
        <w:t xml:space="preserve"> </w:t>
      </w:r>
      <w:r w:rsidR="008D3B77">
        <w:t>organisations and workplaces struggle to retain women</w:t>
      </w:r>
      <w:r w:rsidR="002807B4" w:rsidRPr="00350C48">
        <w:t xml:space="preserve">. Gender bias, discrimination and harassment </w:t>
      </w:r>
      <w:r w:rsidR="004C1C27">
        <w:t>(including sexual harassment)</w:t>
      </w:r>
      <w:r w:rsidR="002807B4" w:rsidRPr="00350C48">
        <w:t xml:space="preserve"> are major factors driving women </w:t>
      </w:r>
      <w:r w:rsidR="004C1C27">
        <w:t xml:space="preserve">to leave </w:t>
      </w:r>
      <w:r w:rsidR="002807B4" w:rsidRPr="00350C48">
        <w:t>STEM workforce</w:t>
      </w:r>
      <w:r w:rsidR="001766B8">
        <w:t>s</w:t>
      </w:r>
      <w:r w:rsidR="002807B4" w:rsidRPr="00350C48">
        <w:t>.</w:t>
      </w:r>
      <w:r>
        <w:t xml:space="preserve"> A lack of flexible work </w:t>
      </w:r>
      <w:proofErr w:type="gramStart"/>
      <w:r>
        <w:t>arrangements which are often necessary to balance caring responsibilities, and effective mentoring and sponsoring opportunities</w:t>
      </w:r>
      <w:proofErr w:type="gramEnd"/>
      <w:r>
        <w:t xml:space="preserve"> contribute to highly skilled and qualified women leaving STEM</w:t>
      </w:r>
      <w:r w:rsidR="001766B8">
        <w:t xml:space="preserve"> sectors</w:t>
      </w:r>
      <w:r>
        <w:t>.</w:t>
      </w:r>
    </w:p>
    <w:p w14:paraId="2ED2D1C1" w14:textId="30632C2A" w:rsidR="006E38AB" w:rsidRPr="007D6C86" w:rsidRDefault="002807B4" w:rsidP="00B201AB">
      <w:pPr>
        <w:pStyle w:val="BulletedList-Level1"/>
        <w:contextualSpacing w:val="0"/>
      </w:pPr>
      <w:r>
        <w:t xml:space="preserve">Female-dominated sectors in Australia tend to be lower paid, particularly in those industries where </w:t>
      </w:r>
      <w:r w:rsidRPr="007D6C86">
        <w:t>workforce roles are ‘gendered’ such as child care, disability care, aged care and education</w:t>
      </w:r>
      <w:r w:rsidR="00011B38" w:rsidRPr="007D6C86">
        <w:t>.</w:t>
      </w:r>
    </w:p>
    <w:p w14:paraId="4326EE5C" w14:textId="51424855" w:rsidR="00B201AB" w:rsidRPr="007D6C86" w:rsidRDefault="00011B38" w:rsidP="00011B38">
      <w:pPr>
        <w:pStyle w:val="BulletedList-Level1"/>
        <w:contextualSpacing w:val="0"/>
      </w:pPr>
      <w:r w:rsidRPr="007D6C86">
        <w:t xml:space="preserve">The societal </w:t>
      </w:r>
      <w:r w:rsidR="006E38AB" w:rsidRPr="007D6C86">
        <w:t xml:space="preserve">undervaluation of </w:t>
      </w:r>
      <w:r w:rsidR="002807B4" w:rsidRPr="007D6C86">
        <w:t>women’s work and contributions</w:t>
      </w:r>
      <w:r w:rsidR="006E38AB" w:rsidRPr="007D6C86">
        <w:t xml:space="preserve"> has carried over to how </w:t>
      </w:r>
      <w:r w:rsidR="003E0CAF" w:rsidRPr="007D6C86">
        <w:t xml:space="preserve">the care economy workforce </w:t>
      </w:r>
      <w:proofErr w:type="gramStart"/>
      <w:r w:rsidR="006E38AB" w:rsidRPr="007D6C86">
        <w:t>are re</w:t>
      </w:r>
      <w:r w:rsidR="00B53A05" w:rsidRPr="007D6C86">
        <w:t>mune</w:t>
      </w:r>
      <w:r w:rsidR="006E38AB" w:rsidRPr="007D6C86">
        <w:t>rated</w:t>
      </w:r>
      <w:r w:rsidRPr="007D6C86">
        <w:t xml:space="preserve"> and valued by employers and institutions</w:t>
      </w:r>
      <w:proofErr w:type="gramEnd"/>
      <w:r w:rsidR="006E38AB" w:rsidRPr="007D6C86">
        <w:t>.</w:t>
      </w:r>
      <w:r w:rsidRPr="007D6C86">
        <w:t xml:space="preserve"> For example, on 4</w:t>
      </w:r>
      <w:r w:rsidR="00A36B26" w:rsidRPr="007D6C86">
        <w:t> </w:t>
      </w:r>
      <w:r w:rsidRPr="007D6C86">
        <w:t>November</w:t>
      </w:r>
      <w:r w:rsidR="00AE32AE" w:rsidRPr="007D6C86">
        <w:t xml:space="preserve"> 2022</w:t>
      </w:r>
      <w:r w:rsidRPr="007D6C86">
        <w:t xml:space="preserve">, the Fair Work Commission made an interim decision that a 15 per cent increase in the minimum wages for direct care workers under the relevant awards is justified under work value reasons. The Fair Work Commission accepted the valuation of work </w:t>
      </w:r>
      <w:proofErr w:type="gramStart"/>
      <w:r w:rsidRPr="007D6C86">
        <w:t>is influenced</w:t>
      </w:r>
      <w:proofErr w:type="gramEnd"/>
      <w:r w:rsidRPr="007D6C86">
        <w:t xml:space="preserve"> by social expectations and gendered assumptions about the role of women as workers.  </w:t>
      </w:r>
    </w:p>
    <w:p w14:paraId="2EE48DC9" w14:textId="510AEE0A" w:rsidR="00A67642" w:rsidRPr="007D6C86" w:rsidRDefault="00A67642" w:rsidP="00B201AB">
      <w:pPr>
        <w:pStyle w:val="BulletedList-Level1"/>
        <w:contextualSpacing w:val="0"/>
      </w:pPr>
      <w:r w:rsidRPr="007D6C86">
        <w:t>The undervaluation of women’s paid care work also influences broader cultural norms and perceptions around the value and role of women in undertaking care</w:t>
      </w:r>
      <w:r w:rsidR="00A36B26" w:rsidRPr="007D6C86">
        <w:t>.</w:t>
      </w:r>
      <w:r w:rsidRPr="007D6C86">
        <w:t xml:space="preserve"> </w:t>
      </w:r>
    </w:p>
    <w:p w14:paraId="14FAA5BE" w14:textId="4EDA7C6F" w:rsidR="002807B4" w:rsidRDefault="00B201AB" w:rsidP="00B201AB">
      <w:pPr>
        <w:pStyle w:val="BulletedList-Level1"/>
        <w:contextualSpacing w:val="0"/>
      </w:pPr>
      <w:r w:rsidRPr="00B201AB">
        <w:t xml:space="preserve">Workers in female-dominated industries, such as the care economy, are also more likely to be in casual or insecure work, or working more than one job. This raises issues around sufficient and predictable hours and job security, and how this </w:t>
      </w:r>
      <w:proofErr w:type="gramStart"/>
      <w:r w:rsidRPr="00B201AB">
        <w:t>impacts</w:t>
      </w:r>
      <w:proofErr w:type="gramEnd"/>
      <w:r w:rsidRPr="00B201AB">
        <w:t xml:space="preserve"> quality of life with regards to the ability to balance work and family and care responsibilities, connections with community and individual wellbeing.</w:t>
      </w:r>
    </w:p>
    <w:p w14:paraId="3F8E00FD" w14:textId="179FD48C" w:rsidR="006E505D" w:rsidRDefault="006E505D" w:rsidP="006E505D">
      <w:pPr>
        <w:pStyle w:val="BulletedList-Level1"/>
        <w:contextualSpacing w:val="0"/>
      </w:pPr>
      <w:r w:rsidRPr="006E505D">
        <w:t>Unsafe workplace</w:t>
      </w:r>
      <w:r w:rsidR="001766B8">
        <w:t>s</w:t>
      </w:r>
      <w:r w:rsidRPr="006E505D">
        <w:t xml:space="preserve"> discourage women entering and remaining in male-dominated industries. Workplace sexual harassment was notably higher than the national prevalence rate (33</w:t>
      </w:r>
      <w:r w:rsidR="004C1C27">
        <w:t xml:space="preserve"> per cent</w:t>
      </w:r>
      <w:r w:rsidRPr="006E505D">
        <w:t>) in male</w:t>
      </w:r>
      <w:r w:rsidR="001943FC">
        <w:noBreakHyphen/>
      </w:r>
      <w:r w:rsidRPr="006E505D">
        <w:t xml:space="preserve">dominated industries – 81 </w:t>
      </w:r>
      <w:r w:rsidR="004C1C27">
        <w:t>per cent</w:t>
      </w:r>
      <w:r w:rsidRPr="006E505D">
        <w:t xml:space="preserve"> in Information, media and telecommunications, 47 </w:t>
      </w:r>
      <w:r w:rsidR="004C1C27">
        <w:t>per cent</w:t>
      </w:r>
      <w:r w:rsidRPr="006E505D">
        <w:t xml:space="preserve"> in Electricity, gas, water and waste services and 40</w:t>
      </w:r>
      <w:r w:rsidR="004C1C27">
        <w:t xml:space="preserve"> per cent</w:t>
      </w:r>
      <w:r w:rsidRPr="006E505D">
        <w:t xml:space="preserve"> in </w:t>
      </w:r>
      <w:r w:rsidR="004C1C27">
        <w:t>m</w:t>
      </w:r>
      <w:r w:rsidRPr="006E505D">
        <w:t>ining.</w:t>
      </w:r>
      <w:r w:rsidRPr="006E505D">
        <w:rPr>
          <w:vertAlign w:val="superscript"/>
        </w:rPr>
        <w:footnoteReference w:id="25"/>
      </w:r>
    </w:p>
    <w:p w14:paraId="138CD353" w14:textId="5FC5386D" w:rsidR="009E067E" w:rsidRPr="00B201AB" w:rsidRDefault="009E067E" w:rsidP="00B201AB">
      <w:pPr>
        <w:pStyle w:val="BulletedList-Level1"/>
        <w:rPr>
          <w:lang w:val="en-US"/>
        </w:rPr>
      </w:pPr>
      <w:r w:rsidRPr="006B0AB1">
        <w:rPr>
          <w:lang w:val="en-US"/>
        </w:rPr>
        <w:t xml:space="preserve">Research on intersectionality in the </w:t>
      </w:r>
      <w:r>
        <w:rPr>
          <w:lang w:val="en-US"/>
        </w:rPr>
        <w:t>workforce is growing</w:t>
      </w:r>
      <w:r w:rsidRPr="006B0AB1">
        <w:rPr>
          <w:lang w:val="en-US"/>
        </w:rPr>
        <w:t>, but fragmented. Overall, it shows that women and men from diverse groups can face multiple and compounding disadvantages when participating and progressing i</w:t>
      </w:r>
      <w:r>
        <w:rPr>
          <w:lang w:val="en-US"/>
        </w:rPr>
        <w:t xml:space="preserve">n the </w:t>
      </w:r>
      <w:proofErr w:type="spellStart"/>
      <w:r>
        <w:rPr>
          <w:lang w:val="en-US"/>
        </w:rPr>
        <w:t>labour</w:t>
      </w:r>
      <w:proofErr w:type="spellEnd"/>
      <w:r>
        <w:rPr>
          <w:lang w:val="en-US"/>
        </w:rPr>
        <w:t xml:space="preserve"> force.</w:t>
      </w:r>
      <w:r w:rsidRPr="006B0AB1">
        <w:rPr>
          <w:lang w:val="en-US"/>
        </w:rPr>
        <w:t xml:space="preserve"> These range from inequitable access </w:t>
      </w:r>
      <w:r>
        <w:rPr>
          <w:lang w:val="en-US"/>
        </w:rPr>
        <w:t xml:space="preserve">and unequal participation in </w:t>
      </w:r>
      <w:r w:rsidRPr="006B0AB1">
        <w:rPr>
          <w:lang w:val="en-US"/>
        </w:rPr>
        <w:t>employment opportunities</w:t>
      </w:r>
      <w:r>
        <w:rPr>
          <w:lang w:val="en-US"/>
        </w:rPr>
        <w:t>,</w:t>
      </w:r>
      <w:r w:rsidRPr="006B0AB1">
        <w:rPr>
          <w:lang w:val="en-US"/>
        </w:rPr>
        <w:t xml:space="preserve"> compounding bias</w:t>
      </w:r>
      <w:r>
        <w:rPr>
          <w:lang w:val="en-US"/>
        </w:rPr>
        <w:t>es in recruitment and promotion,</w:t>
      </w:r>
      <w:r w:rsidRPr="006B0AB1">
        <w:rPr>
          <w:lang w:val="en-US"/>
        </w:rPr>
        <w:t xml:space="preserve"> cultural barriers</w:t>
      </w:r>
      <w:r>
        <w:rPr>
          <w:lang w:val="en-US"/>
        </w:rPr>
        <w:t>,</w:t>
      </w:r>
      <w:r w:rsidRPr="006B0AB1">
        <w:rPr>
          <w:lang w:val="en-US"/>
        </w:rPr>
        <w:t xml:space="preserve"> and increased likelihood of discrimination in the workplace</w:t>
      </w:r>
      <w:r w:rsidR="00B201AB">
        <w:rPr>
          <w:lang w:val="en-US"/>
        </w:rPr>
        <w:t>.</w:t>
      </w:r>
      <w:r w:rsidR="00581ACB">
        <w:rPr>
          <w:rStyle w:val="FootnoteReference"/>
          <w:lang w:val="en-US"/>
        </w:rPr>
        <w:footnoteReference w:id="26"/>
      </w:r>
    </w:p>
    <w:p w14:paraId="5E668494" w14:textId="77777777" w:rsidR="00700BB4" w:rsidRPr="00700BB4" w:rsidRDefault="00700BB4" w:rsidP="00640147">
      <w:pPr>
        <w:pStyle w:val="Heading1"/>
      </w:pPr>
      <w:r w:rsidRPr="00700BB4">
        <w:lastRenderedPageBreak/>
        <w:t xml:space="preserve">Discussion </w:t>
      </w:r>
    </w:p>
    <w:p w14:paraId="1DF8FAC8" w14:textId="59224BA0" w:rsidR="00700BB4" w:rsidRPr="00700BB4" w:rsidRDefault="00700BB4" w:rsidP="00700BB4">
      <w:pPr>
        <w:rPr>
          <w:b/>
        </w:rPr>
      </w:pPr>
      <w:r w:rsidRPr="00700BB4">
        <w:t>We ask that you contribute your views on</w:t>
      </w:r>
      <w:r w:rsidR="0098332A">
        <w:t>:</w:t>
      </w:r>
    </w:p>
    <w:p w14:paraId="73B99C66" w14:textId="322DBDD2" w:rsidR="00700BB4" w:rsidRPr="00700BB4" w:rsidRDefault="00700BB4" w:rsidP="00700BB4">
      <w:pPr>
        <w:numPr>
          <w:ilvl w:val="0"/>
          <w:numId w:val="35"/>
        </w:numPr>
        <w:contextualSpacing/>
      </w:pPr>
      <w:r w:rsidRPr="00700BB4">
        <w:t>What are t</w:t>
      </w:r>
      <w:r w:rsidR="001E222F">
        <w:t>he drivers of gender inequitable outcomes across Australia’s workforce?</w:t>
      </w:r>
    </w:p>
    <w:p w14:paraId="33089922" w14:textId="77777777" w:rsidR="004C1C27" w:rsidRPr="00700BB4" w:rsidRDefault="004C1C27" w:rsidP="009259C7">
      <w:pPr>
        <w:numPr>
          <w:ilvl w:val="0"/>
          <w:numId w:val="35"/>
        </w:numPr>
        <w:contextualSpacing/>
      </w:pPr>
      <w:r w:rsidRPr="00173EB7">
        <w:t>What are the key barriers to lifting women’s participation and closing the gender pay gap? </w:t>
      </w:r>
    </w:p>
    <w:p w14:paraId="32B1FBC7" w14:textId="22AA1C9B" w:rsidR="00700BB4" w:rsidRDefault="00700BB4" w:rsidP="00700BB4">
      <w:pPr>
        <w:numPr>
          <w:ilvl w:val="0"/>
          <w:numId w:val="35"/>
        </w:numPr>
        <w:contextualSpacing/>
      </w:pPr>
      <w:r w:rsidRPr="00700BB4">
        <w:t xml:space="preserve">What are the barriers to achieve greater gender </w:t>
      </w:r>
      <w:r w:rsidR="001E222F">
        <w:t>e</w:t>
      </w:r>
      <w:r w:rsidR="004C53A8">
        <w:t xml:space="preserve">quitable outcome across </w:t>
      </w:r>
      <w:r w:rsidR="00DD3095">
        <w:t xml:space="preserve">industries and </w:t>
      </w:r>
      <w:r w:rsidR="004C53A8">
        <w:t>occupations</w:t>
      </w:r>
      <w:r w:rsidRPr="00700BB4">
        <w:t>?</w:t>
      </w:r>
    </w:p>
    <w:p w14:paraId="7114CB8B" w14:textId="299E1EB1" w:rsidR="00700BB4" w:rsidRDefault="00700BB4" w:rsidP="00700BB4">
      <w:pPr>
        <w:numPr>
          <w:ilvl w:val="0"/>
          <w:numId w:val="35"/>
        </w:numPr>
        <w:contextualSpacing/>
      </w:pPr>
      <w:r w:rsidRPr="00700BB4">
        <w:t>What are some concre</w:t>
      </w:r>
      <w:r w:rsidR="00371430">
        <w:t xml:space="preserve">te policy options that </w:t>
      </w:r>
      <w:proofErr w:type="gramStart"/>
      <w:r w:rsidRPr="00700BB4">
        <w:t xml:space="preserve">should </w:t>
      </w:r>
      <w:r w:rsidR="00371430">
        <w:t>be considered</w:t>
      </w:r>
      <w:proofErr w:type="gramEnd"/>
      <w:r w:rsidR="00371430">
        <w:t xml:space="preserve"> </w:t>
      </w:r>
      <w:r w:rsidR="00583AAC">
        <w:t>as part of this</w:t>
      </w:r>
      <w:r w:rsidR="00371430">
        <w:t xml:space="preserve"> Strategy </w:t>
      </w:r>
      <w:r w:rsidRPr="00700BB4">
        <w:t xml:space="preserve">to </w:t>
      </w:r>
      <w:r w:rsidR="004C53A8">
        <w:t>achieve</w:t>
      </w:r>
      <w:r w:rsidR="00E85830">
        <w:t xml:space="preserve"> more </w:t>
      </w:r>
      <w:r w:rsidR="00EA23B7">
        <w:t>gender equitable outcome</w:t>
      </w:r>
      <w:r w:rsidR="004C53A8">
        <w:t>s</w:t>
      </w:r>
      <w:r w:rsidR="00EA23B7">
        <w:t xml:space="preserve"> in Australia’s labour market</w:t>
      </w:r>
      <w:r w:rsidRPr="00700BB4">
        <w:t xml:space="preserve">? </w:t>
      </w:r>
    </w:p>
    <w:p w14:paraId="01E28E78" w14:textId="6D69771C" w:rsidR="00173EB7" w:rsidRDefault="00173EB7" w:rsidP="00173EB7">
      <w:pPr>
        <w:pStyle w:val="ListParagraph"/>
        <w:numPr>
          <w:ilvl w:val="1"/>
          <w:numId w:val="35"/>
        </w:numPr>
      </w:pPr>
      <w:r w:rsidRPr="00173EB7">
        <w:t xml:space="preserve">How does occupational segregation contribute to the participation and gender pay gap and how </w:t>
      </w:r>
      <w:proofErr w:type="gramStart"/>
      <w:r w:rsidRPr="00173EB7">
        <w:t xml:space="preserve">can </w:t>
      </w:r>
      <w:r w:rsidR="004C1C27">
        <w:t>this be addressed</w:t>
      </w:r>
      <w:proofErr w:type="gramEnd"/>
      <w:r w:rsidRPr="00173EB7">
        <w:t>?</w:t>
      </w:r>
    </w:p>
    <w:p w14:paraId="22790824" w14:textId="06F2015B" w:rsidR="00173EB7" w:rsidRPr="00173EB7" w:rsidRDefault="00173EB7" w:rsidP="00173EB7">
      <w:pPr>
        <w:pStyle w:val="ListParagraph"/>
        <w:numPr>
          <w:ilvl w:val="1"/>
          <w:numId w:val="35"/>
        </w:numPr>
      </w:pPr>
      <w:r w:rsidRPr="00173EB7">
        <w:t xml:space="preserve">How do incentive structures and norms embedded in Australia's tax-transfer and workplace relations systems prevent gender equality in the labour market and how </w:t>
      </w:r>
      <w:proofErr w:type="gramStart"/>
      <w:r w:rsidRPr="00173EB7">
        <w:t xml:space="preserve">can </w:t>
      </w:r>
      <w:r w:rsidR="004C1C27">
        <w:t>this be</w:t>
      </w:r>
      <w:r w:rsidR="004C1C27" w:rsidRPr="00173EB7">
        <w:t xml:space="preserve"> </w:t>
      </w:r>
      <w:r w:rsidRPr="00173EB7">
        <w:t>address</w:t>
      </w:r>
      <w:r w:rsidR="004C1C27">
        <w:t>ed</w:t>
      </w:r>
      <w:proofErr w:type="gramEnd"/>
      <w:r w:rsidRPr="00173EB7">
        <w:t>?</w:t>
      </w:r>
    </w:p>
    <w:p w14:paraId="42119B1E" w14:textId="6E715261" w:rsidR="00173EB7" w:rsidRPr="00700BB4" w:rsidRDefault="00173EB7" w:rsidP="00657F80">
      <w:pPr>
        <w:pStyle w:val="ListParagraph"/>
        <w:numPr>
          <w:ilvl w:val="1"/>
          <w:numId w:val="35"/>
        </w:numPr>
      </w:pPr>
      <w:r w:rsidRPr="00173EB7">
        <w:t xml:space="preserve">Where are the data gaps in understanding women’s employment outcomes and how can we achieve better outcomes with better </w:t>
      </w:r>
      <w:proofErr w:type="gramStart"/>
      <w:r w:rsidRPr="00173EB7">
        <w:t>data?</w:t>
      </w:r>
      <w:proofErr w:type="gramEnd"/>
    </w:p>
    <w:p w14:paraId="1424AB77" w14:textId="59B865DD" w:rsidR="00700BB4" w:rsidRPr="00700BB4" w:rsidRDefault="00371430" w:rsidP="00640147">
      <w:pPr>
        <w:pStyle w:val="ListParagraph"/>
        <w:numPr>
          <w:ilvl w:val="0"/>
          <w:numId w:val="35"/>
        </w:numPr>
      </w:pPr>
      <w:r>
        <w:t xml:space="preserve">What will success look like and how can </w:t>
      </w:r>
      <w:r w:rsidR="004C1C27">
        <w:t xml:space="preserve">it </w:t>
      </w:r>
      <w:proofErr w:type="gramStart"/>
      <w:r>
        <w:t>be measured</w:t>
      </w:r>
      <w:r w:rsidR="004C1C27">
        <w:t xml:space="preserve"> and evaluated</w:t>
      </w:r>
      <w:proofErr w:type="gramEnd"/>
      <w:r>
        <w:t xml:space="preserve">? </w:t>
      </w:r>
    </w:p>
    <w:p w14:paraId="5DD2A8D4" w14:textId="5813683D" w:rsidR="00700BB4" w:rsidRPr="00700BB4" w:rsidRDefault="00700BB4" w:rsidP="00700BB4">
      <w:r w:rsidRPr="00700BB4">
        <w:t xml:space="preserve">We are mindful of the need to ensure the rich variety of lived experiences of </w:t>
      </w:r>
      <w:r w:rsidR="004C1C27">
        <w:t>people in Australia</w:t>
      </w:r>
      <w:r w:rsidRPr="00700BB4">
        <w:t xml:space="preserve"> </w:t>
      </w:r>
      <w:proofErr w:type="gramStart"/>
      <w:r w:rsidRPr="00700BB4">
        <w:t>are captured</w:t>
      </w:r>
      <w:proofErr w:type="gramEnd"/>
      <w:r w:rsidRPr="00700BB4">
        <w:t xml:space="preserve"> during this consultation process. This includes hearing from those who:</w:t>
      </w:r>
    </w:p>
    <w:p w14:paraId="75A3BA7C" w14:textId="77777777" w:rsidR="00700BB4" w:rsidRPr="00700BB4" w:rsidRDefault="00700BB4" w:rsidP="000854E0">
      <w:pPr>
        <w:pStyle w:val="BulletedList-Level1"/>
      </w:pPr>
      <w:r w:rsidRPr="00700BB4">
        <w:t>are living with disability;</w:t>
      </w:r>
    </w:p>
    <w:p w14:paraId="25360F59" w14:textId="77777777" w:rsidR="00700BB4" w:rsidRPr="00700BB4" w:rsidRDefault="00700BB4" w:rsidP="000854E0">
      <w:pPr>
        <w:pStyle w:val="BulletedList-Level1"/>
      </w:pPr>
      <w:r w:rsidRPr="00700BB4">
        <w:t xml:space="preserve">are First Nations people; </w:t>
      </w:r>
    </w:p>
    <w:p w14:paraId="25F79D2E" w14:textId="77777777" w:rsidR="00700BB4" w:rsidRPr="00700BB4" w:rsidRDefault="00700BB4" w:rsidP="000854E0">
      <w:pPr>
        <w:pStyle w:val="BulletedList-Level1"/>
      </w:pPr>
      <w:r w:rsidRPr="00700BB4">
        <w:t>are people who are part of the LGBTQIA+ community;</w:t>
      </w:r>
    </w:p>
    <w:p w14:paraId="2755AB01" w14:textId="77777777" w:rsidR="00700BB4" w:rsidRPr="00700BB4" w:rsidRDefault="00700BB4" w:rsidP="000854E0">
      <w:pPr>
        <w:pStyle w:val="BulletedList-Level1"/>
      </w:pPr>
      <w:r w:rsidRPr="00700BB4">
        <w:t>are migrants and refugees;</w:t>
      </w:r>
    </w:p>
    <w:p w14:paraId="1C8E0F2C" w14:textId="77777777" w:rsidR="00700BB4" w:rsidRPr="00700BB4" w:rsidRDefault="00700BB4" w:rsidP="000854E0">
      <w:pPr>
        <w:pStyle w:val="BulletedList-Level1"/>
      </w:pPr>
      <w:r w:rsidRPr="00700BB4">
        <w:t>are people of colour;</w:t>
      </w:r>
    </w:p>
    <w:p w14:paraId="10E8BB3E" w14:textId="77777777" w:rsidR="00700BB4" w:rsidRPr="00700BB4" w:rsidRDefault="00700BB4" w:rsidP="000854E0">
      <w:pPr>
        <w:pStyle w:val="BulletedList-Level1"/>
      </w:pPr>
      <w:r w:rsidRPr="00700BB4">
        <w:t xml:space="preserve">are living in regional and remote areas; </w:t>
      </w:r>
    </w:p>
    <w:p w14:paraId="4B63EC1A" w14:textId="77777777" w:rsidR="00700BB4" w:rsidRPr="00700BB4" w:rsidRDefault="00700BB4" w:rsidP="000854E0">
      <w:pPr>
        <w:pStyle w:val="BulletedList-Level1"/>
      </w:pPr>
      <w:r w:rsidRPr="00700BB4">
        <w:t>are of different ages and life stages, education levels, migration status, and/or socio-economic background;</w:t>
      </w:r>
    </w:p>
    <w:p w14:paraId="53656C39" w14:textId="77777777" w:rsidR="00700BB4" w:rsidRPr="00700BB4" w:rsidRDefault="00700BB4" w:rsidP="000854E0">
      <w:pPr>
        <w:pStyle w:val="BulletedList-Level1"/>
      </w:pPr>
      <w:r w:rsidRPr="00700BB4">
        <w:t xml:space="preserve">have experience of trauma; as well as </w:t>
      </w:r>
    </w:p>
    <w:p w14:paraId="6BEEC86E" w14:textId="565FBDE0" w:rsidR="00700BB4" w:rsidRPr="00700BB4" w:rsidRDefault="00700BB4" w:rsidP="000854E0">
      <w:pPr>
        <w:pStyle w:val="BulletedList-Level1"/>
      </w:pPr>
      <w:proofErr w:type="gramStart"/>
      <w:r w:rsidRPr="00700BB4">
        <w:t>all</w:t>
      </w:r>
      <w:proofErr w:type="gramEnd"/>
      <w:r w:rsidRPr="00700BB4">
        <w:t xml:space="preserve"> other factors that may impact people’s experience of gender equality or inequality. </w:t>
      </w:r>
    </w:p>
    <w:sectPr w:rsidR="00700BB4" w:rsidRPr="00700BB4" w:rsidSect="004009A3">
      <w:headerReference w:type="default" r:id="rId18"/>
      <w:footerReference w:type="default" r:id="rId19"/>
      <w:headerReference w:type="first" r:id="rId20"/>
      <w:footerReference w:type="first" r:id="rId21"/>
      <w:pgSz w:w="11906" w:h="16838"/>
      <w:pgMar w:top="1701" w:right="1134" w:bottom="1701"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E62D5" w14:textId="77777777" w:rsidR="005C7F8A" w:rsidRDefault="005C7F8A" w:rsidP="00F957C6">
      <w:pPr>
        <w:spacing w:after="0" w:line="240" w:lineRule="auto"/>
      </w:pPr>
      <w:r>
        <w:separator/>
      </w:r>
    </w:p>
  </w:endnote>
  <w:endnote w:type="continuationSeparator" w:id="0">
    <w:p w14:paraId="5C060593" w14:textId="77777777" w:rsidR="005C7F8A" w:rsidRDefault="005C7F8A" w:rsidP="00F957C6">
      <w:pPr>
        <w:spacing w:after="0" w:line="240" w:lineRule="auto"/>
      </w:pPr>
      <w:r>
        <w:continuationSeparator/>
      </w:r>
    </w:p>
  </w:endnote>
  <w:endnote w:type="continuationNotice" w:id="1">
    <w:p w14:paraId="14EB5FA9" w14:textId="77777777" w:rsidR="005C7F8A" w:rsidRDefault="005C7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C648" w14:textId="01DBFCF8" w:rsidR="000810FD" w:rsidRPr="00285CAF" w:rsidRDefault="000810FD" w:rsidP="00D10635">
    <w:pPr>
      <w:jc w:val="center"/>
    </w:pPr>
  </w:p>
  <w:p w14:paraId="665668DC" w14:textId="63225C34" w:rsidR="000810FD" w:rsidRPr="008046D4" w:rsidRDefault="000810FD" w:rsidP="00D10635">
    <w:pPr>
      <w:pStyle w:val="Header"/>
      <w:rPr>
        <w:rFonts w:ascii="Segoe UI" w:hAnsi="Segoe UI" w:cs="Segoe UI"/>
        <w:color w:val="7F7F7F" w:themeColor="text1" w:themeTint="80"/>
        <w:sz w:val="18"/>
      </w:rPr>
    </w:pPr>
    <w:r>
      <w:rPr>
        <w:color w:val="7F7F7F" w:themeColor="text1" w:themeTint="80"/>
        <w:sz w:val="18"/>
        <w:szCs w:val="18"/>
      </w:rPr>
      <w:t xml:space="preserve">PM&amp;C | </w:t>
    </w:r>
    <w:sdt>
      <w:sdtPr>
        <w:rPr>
          <w:color w:val="7F7F7F" w:themeColor="text1" w:themeTint="80"/>
          <w:sz w:val="18"/>
          <w:szCs w:val="18"/>
        </w:rPr>
        <w:alias w:val="Manager"/>
        <w:tag w:val=""/>
        <w:id w:val="-1248491664"/>
        <w:dataBinding w:prefixMappings="xmlns:ns0='http://schemas.openxmlformats.org/officeDocument/2006/extended-properties' " w:xpath="/ns0:Properties[1]/ns0:Manager[1]" w:storeItemID="{6668398D-A668-4E3E-A5EB-62B293D839F1}"/>
        <w:text/>
      </w:sdtPr>
      <w:sdtEndPr/>
      <w:sdtContent>
        <w:r>
          <w:rPr>
            <w:color w:val="7F7F7F" w:themeColor="text1" w:themeTint="80"/>
            <w:sz w:val="18"/>
            <w:szCs w:val="18"/>
          </w:rPr>
          <w:t>Office for Women</w:t>
        </w:r>
      </w:sdtContent>
    </w:sdt>
    <w:r>
      <w:rPr>
        <w:color w:val="7F7F7F" w:themeColor="text1" w:themeTint="80"/>
        <w:sz w:val="18"/>
        <w:szCs w:val="18"/>
      </w:rPr>
      <w:t xml:space="preserve"> | </w:t>
    </w:r>
    <w:sdt>
      <w:sdtPr>
        <w:rPr>
          <w:color w:val="7F7F7F" w:themeColor="text1" w:themeTint="80"/>
          <w:sz w:val="18"/>
          <w:szCs w:val="18"/>
        </w:rPr>
        <w:alias w:val="Title"/>
        <w:tag w:val=""/>
        <w:id w:val="-856421456"/>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Pr>
            <w:color w:val="7F7F7F" w:themeColor="text1" w:themeTint="80"/>
            <w:sz w:val="18"/>
            <w:szCs w:val="18"/>
          </w:rPr>
          <w:t>Employment</w:t>
        </w:r>
      </w:sdtContent>
    </w:sdt>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211812">
      <w:rPr>
        <w:rFonts w:ascii="Segoe UI" w:hAnsi="Segoe UI" w:cs="Segoe UI"/>
        <w:noProof/>
        <w:color w:val="7F7F7F" w:themeColor="text1" w:themeTint="80"/>
        <w:sz w:val="18"/>
      </w:rPr>
      <w:t>8</w:t>
    </w:r>
    <w:r w:rsidRPr="008046D4">
      <w:rPr>
        <w:rFonts w:ascii="Segoe UI" w:hAnsi="Segoe UI" w:cs="Segoe UI"/>
        <w:noProof/>
        <w:color w:val="7F7F7F" w:themeColor="text1" w:themeTint="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D564" w14:textId="2D5CF591" w:rsidR="000810FD" w:rsidRPr="00285CAF" w:rsidRDefault="000810FD" w:rsidP="002160A7">
    <w:pPr>
      <w:jc w:val="center"/>
    </w:pPr>
  </w:p>
  <w:p w14:paraId="70A5306C" w14:textId="4A30E7ED" w:rsidR="000810FD" w:rsidRPr="008046D4" w:rsidRDefault="000810FD" w:rsidP="002160A7">
    <w:pPr>
      <w:pStyle w:val="Header"/>
      <w:rPr>
        <w:rFonts w:ascii="Segoe UI" w:hAnsi="Segoe UI" w:cs="Segoe UI"/>
        <w:color w:val="7F7F7F" w:themeColor="text1" w:themeTint="80"/>
        <w:sz w:val="18"/>
      </w:rPr>
    </w:pPr>
    <w:r>
      <w:rPr>
        <w:color w:val="7F7F7F" w:themeColor="text1" w:themeTint="80"/>
        <w:sz w:val="18"/>
        <w:szCs w:val="18"/>
      </w:rPr>
      <w:t xml:space="preserve">PM&amp;C | </w:t>
    </w:r>
    <w:sdt>
      <w:sdtPr>
        <w:rPr>
          <w:color w:val="7F7F7F" w:themeColor="text1" w:themeTint="80"/>
          <w:sz w:val="18"/>
          <w:szCs w:val="18"/>
        </w:rPr>
        <w:alias w:val="Manager"/>
        <w:tag w:val=""/>
        <w:id w:val="1375738123"/>
        <w:dataBinding w:prefixMappings="xmlns:ns0='http://schemas.openxmlformats.org/officeDocument/2006/extended-properties' " w:xpath="/ns0:Properties[1]/ns0:Manager[1]" w:storeItemID="{6668398D-A668-4E3E-A5EB-62B293D839F1}"/>
        <w:text/>
      </w:sdtPr>
      <w:sdtEndPr/>
      <w:sdtContent>
        <w:r>
          <w:rPr>
            <w:color w:val="7F7F7F" w:themeColor="text1" w:themeTint="80"/>
            <w:sz w:val="18"/>
            <w:szCs w:val="18"/>
          </w:rPr>
          <w:t>Office for Women</w:t>
        </w:r>
      </w:sdtContent>
    </w:sdt>
    <w:r>
      <w:rPr>
        <w:color w:val="7F7F7F" w:themeColor="text1" w:themeTint="80"/>
        <w:sz w:val="18"/>
        <w:szCs w:val="18"/>
      </w:rPr>
      <w:t xml:space="preserve"> | </w:t>
    </w:r>
    <w:sdt>
      <w:sdtPr>
        <w:rPr>
          <w:color w:val="7F7F7F" w:themeColor="text1" w:themeTint="80"/>
          <w:sz w:val="18"/>
          <w:szCs w:val="18"/>
        </w:rPr>
        <w:alias w:val="Title"/>
        <w:tag w:val=""/>
        <w:id w:val="177018151"/>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Pr>
            <w:color w:val="7F7F7F" w:themeColor="text1" w:themeTint="80"/>
            <w:sz w:val="18"/>
            <w:szCs w:val="18"/>
          </w:rPr>
          <w:t>Employment</w:t>
        </w:r>
      </w:sdtContent>
    </w:sdt>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211812">
      <w:rPr>
        <w:rFonts w:ascii="Segoe UI" w:hAnsi="Segoe UI" w:cs="Segoe UI"/>
        <w:noProof/>
        <w:color w:val="7F7F7F" w:themeColor="text1" w:themeTint="80"/>
        <w:sz w:val="18"/>
      </w:rPr>
      <w:t>1</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1B967" w14:textId="77777777" w:rsidR="005C7F8A" w:rsidRDefault="005C7F8A" w:rsidP="00F957C6">
      <w:pPr>
        <w:spacing w:after="0" w:line="240" w:lineRule="auto"/>
      </w:pPr>
      <w:r>
        <w:separator/>
      </w:r>
    </w:p>
  </w:footnote>
  <w:footnote w:type="continuationSeparator" w:id="0">
    <w:p w14:paraId="16047978" w14:textId="77777777" w:rsidR="005C7F8A" w:rsidRDefault="005C7F8A" w:rsidP="00F957C6">
      <w:pPr>
        <w:spacing w:after="0" w:line="240" w:lineRule="auto"/>
      </w:pPr>
      <w:r>
        <w:continuationSeparator/>
      </w:r>
    </w:p>
  </w:footnote>
  <w:footnote w:type="continuationNotice" w:id="1">
    <w:p w14:paraId="62F581F7" w14:textId="77777777" w:rsidR="005C7F8A" w:rsidRDefault="005C7F8A">
      <w:pPr>
        <w:spacing w:after="0" w:line="240" w:lineRule="auto"/>
      </w:pPr>
    </w:p>
  </w:footnote>
  <w:footnote w:id="2">
    <w:p w14:paraId="5ECB8CFB" w14:textId="77777777" w:rsidR="000810FD" w:rsidRPr="00706443" w:rsidRDefault="000810FD" w:rsidP="00C15E2E">
      <w:pPr>
        <w:pStyle w:val="FootnoteText"/>
        <w:rPr>
          <w:rFonts w:ascii="Segoe UI Light" w:hAnsi="Segoe UI Light" w:cs="Segoe UI Light"/>
        </w:rPr>
      </w:pPr>
      <w:r w:rsidRPr="00706443">
        <w:rPr>
          <w:rStyle w:val="FootnoteReference"/>
          <w:rFonts w:ascii="Segoe UI Light" w:eastAsiaTheme="majorEastAsia" w:hAnsi="Segoe UI Light" w:cs="Segoe UI Light"/>
        </w:rPr>
        <w:footnoteRef/>
      </w:r>
      <w:r w:rsidRPr="00706443">
        <w:rPr>
          <w:rFonts w:ascii="Segoe UI Light" w:hAnsi="Segoe UI Light" w:cs="Segoe UI Light"/>
        </w:rPr>
        <w:t xml:space="preserve"> Workplace Gender Equity Agency (WGEA) (</w:t>
      </w:r>
      <w:proofErr w:type="spellStart"/>
      <w:r w:rsidRPr="00706443">
        <w:rPr>
          <w:rFonts w:ascii="Segoe UI Light" w:hAnsi="Segoe UI Light" w:cs="Segoe UI Light"/>
        </w:rPr>
        <w:t>n.d.</w:t>
      </w:r>
      <w:proofErr w:type="spellEnd"/>
      <w:r w:rsidRPr="00706443">
        <w:rPr>
          <w:rFonts w:ascii="Segoe UI Light" w:hAnsi="Segoe UI Light" w:cs="Segoe UI Light"/>
        </w:rPr>
        <w:t xml:space="preserve">) </w:t>
      </w:r>
      <w:hyperlink r:id="rId1" w:history="1">
        <w:r w:rsidRPr="00706443">
          <w:rPr>
            <w:rStyle w:val="Hyperlink"/>
            <w:rFonts w:ascii="Segoe UI Light" w:eastAsiaTheme="majorEastAsia" w:hAnsi="Segoe UI Light" w:cs="Segoe UI Light"/>
            <w:i/>
          </w:rPr>
          <w:t>Age and the gender pay gap</w:t>
        </w:r>
      </w:hyperlink>
      <w:r w:rsidRPr="00706443">
        <w:rPr>
          <w:rFonts w:ascii="Segoe UI Light" w:hAnsi="Segoe UI Light" w:cs="Segoe UI Light"/>
        </w:rPr>
        <w:t>, accessed on 21 September 2022.</w:t>
      </w:r>
    </w:p>
  </w:footnote>
  <w:footnote w:id="3">
    <w:p w14:paraId="41EC556C" w14:textId="77777777" w:rsidR="000810FD" w:rsidRPr="000A6AF8" w:rsidRDefault="000810FD" w:rsidP="00C15E2E">
      <w:pPr>
        <w:pStyle w:val="FootnoteText"/>
        <w:rPr>
          <w:rFonts w:cstheme="minorHAnsi"/>
        </w:rPr>
      </w:pPr>
      <w:r w:rsidRPr="00706443">
        <w:rPr>
          <w:rStyle w:val="FootnoteReference"/>
          <w:rFonts w:ascii="Segoe UI Light" w:eastAsiaTheme="majorEastAsia" w:hAnsi="Segoe UI Light" w:cs="Segoe UI Light"/>
        </w:rPr>
        <w:footnoteRef/>
      </w:r>
      <w:r w:rsidRPr="00706443">
        <w:rPr>
          <w:rFonts w:ascii="Segoe UI Light" w:hAnsi="Segoe UI Light" w:cs="Segoe UI Light"/>
        </w:rPr>
        <w:t xml:space="preserve"> Workplace Gender Equity Agency (WGEA) (</w:t>
      </w:r>
      <w:proofErr w:type="spellStart"/>
      <w:r w:rsidRPr="00706443">
        <w:rPr>
          <w:rFonts w:ascii="Segoe UI Light" w:hAnsi="Segoe UI Light" w:cs="Segoe UI Light"/>
        </w:rPr>
        <w:t>n.d.</w:t>
      </w:r>
      <w:proofErr w:type="spellEnd"/>
      <w:r w:rsidRPr="00706443">
        <w:rPr>
          <w:rFonts w:ascii="Segoe UI Light" w:hAnsi="Segoe UI Light" w:cs="Segoe UI Light"/>
        </w:rPr>
        <w:t xml:space="preserve">) </w:t>
      </w:r>
      <w:hyperlink r:id="rId2" w:history="1">
        <w:r w:rsidRPr="00706443">
          <w:rPr>
            <w:rStyle w:val="Hyperlink"/>
            <w:rFonts w:ascii="Segoe UI Light" w:eastAsiaTheme="majorEastAsia" w:hAnsi="Segoe UI Light" w:cs="Segoe UI Light"/>
            <w:i/>
          </w:rPr>
          <w:t>Gender pay gap data</w:t>
        </w:r>
      </w:hyperlink>
      <w:r w:rsidRPr="00706443">
        <w:rPr>
          <w:rFonts w:ascii="Segoe UI Light" w:hAnsi="Segoe UI Light" w:cs="Segoe UI Light"/>
          <w:i/>
        </w:rPr>
        <w:t xml:space="preserve">, </w:t>
      </w:r>
      <w:r w:rsidRPr="00706443">
        <w:rPr>
          <w:rFonts w:ascii="Segoe UI Light" w:hAnsi="Segoe UI Light" w:cs="Segoe UI Light"/>
        </w:rPr>
        <w:t>accessed on 26 August 2022.</w:t>
      </w:r>
    </w:p>
  </w:footnote>
  <w:footnote w:id="4">
    <w:p w14:paraId="7140D074" w14:textId="77777777" w:rsidR="000810FD" w:rsidRPr="00706443" w:rsidRDefault="000810FD" w:rsidP="00C15E2E">
      <w:pPr>
        <w:pStyle w:val="FootnoteText"/>
        <w:rPr>
          <w:rFonts w:ascii="Segoe UI Light" w:hAnsi="Segoe UI Light" w:cs="Segoe UI Light"/>
        </w:rPr>
      </w:pPr>
      <w:r w:rsidRPr="00706443">
        <w:rPr>
          <w:rStyle w:val="FootnoteReference"/>
          <w:rFonts w:ascii="Segoe UI Light" w:eastAsiaTheme="majorEastAsia" w:hAnsi="Segoe UI Light" w:cs="Segoe UI Light"/>
        </w:rPr>
        <w:footnoteRef/>
      </w:r>
      <w:r w:rsidRPr="00706443">
        <w:rPr>
          <w:rFonts w:ascii="Segoe UI Light" w:hAnsi="Segoe UI Light" w:cs="Segoe UI Light"/>
        </w:rPr>
        <w:t xml:space="preserve"> Social Research Centre (2021) </w:t>
      </w:r>
      <w:hyperlink r:id="rId3" w:history="1">
        <w:r w:rsidRPr="00706443">
          <w:rPr>
            <w:rStyle w:val="Hyperlink"/>
            <w:rFonts w:ascii="Segoe UI Light" w:eastAsiaTheme="majorEastAsia" w:hAnsi="Segoe UI Light" w:cs="Segoe UI Light"/>
            <w:i/>
          </w:rPr>
          <w:t>2021 Graduate outcomes survey</w:t>
        </w:r>
      </w:hyperlink>
      <w:r w:rsidRPr="00706443">
        <w:rPr>
          <w:rFonts w:ascii="Segoe UI Light" w:hAnsi="Segoe UI Light" w:cs="Segoe UI Light"/>
          <w:i/>
        </w:rPr>
        <w:t xml:space="preserve">, </w:t>
      </w:r>
      <w:r w:rsidRPr="00706443">
        <w:rPr>
          <w:rFonts w:ascii="Segoe UI Light" w:hAnsi="Segoe UI Light" w:cs="Segoe UI Light"/>
        </w:rPr>
        <w:t>Quality Indicators of Learning and Teaching, October 2021, p 7-8.</w:t>
      </w:r>
    </w:p>
  </w:footnote>
  <w:footnote w:id="5">
    <w:p w14:paraId="2A7BEEA0" w14:textId="77777777" w:rsidR="000810FD" w:rsidRPr="00706443" w:rsidRDefault="000810FD" w:rsidP="00B15D1E">
      <w:pPr>
        <w:pStyle w:val="FootnoteText"/>
        <w:rPr>
          <w:rFonts w:ascii="Segoe UI Light" w:hAnsi="Segoe UI Light" w:cs="Segoe UI Light"/>
        </w:rPr>
      </w:pPr>
      <w:r w:rsidRPr="00706443">
        <w:rPr>
          <w:rStyle w:val="FootnoteReference"/>
          <w:rFonts w:ascii="Segoe UI Light" w:eastAsiaTheme="majorEastAsia" w:hAnsi="Segoe UI Light" w:cs="Segoe UI Light"/>
        </w:rPr>
        <w:footnoteRef/>
      </w:r>
      <w:r w:rsidRPr="00706443">
        <w:rPr>
          <w:rFonts w:ascii="Segoe UI Light" w:hAnsi="Segoe UI Light" w:cs="Segoe UI Light"/>
        </w:rPr>
        <w:t xml:space="preserve"> KPMG (2022) </w:t>
      </w:r>
      <w:r w:rsidRPr="00706443">
        <w:rPr>
          <w:rFonts w:ascii="Segoe UI Light" w:hAnsi="Segoe UI Light" w:cs="Segoe UI Light"/>
          <w:i/>
        </w:rPr>
        <w:t>She’s Price(d)less: The economics of the gender pay gap,</w:t>
      </w:r>
      <w:r w:rsidRPr="00706443">
        <w:rPr>
          <w:rFonts w:ascii="Segoe UI Light" w:hAnsi="Segoe UI Light" w:cs="Segoe UI Light"/>
        </w:rPr>
        <w:t xml:space="preserve"> A report for Diversity Council Australia and WGEA, Australia</w:t>
      </w:r>
    </w:p>
  </w:footnote>
  <w:footnote w:id="6">
    <w:p w14:paraId="71332B32" w14:textId="280F0764" w:rsidR="000810FD" w:rsidRPr="00706443" w:rsidRDefault="000810FD" w:rsidP="00A01596">
      <w:pPr>
        <w:pStyle w:val="FootnoteText"/>
        <w:rPr>
          <w:rFonts w:ascii="Segoe UI Light" w:hAnsi="Segoe UI Light" w:cs="Segoe UI Light"/>
        </w:rPr>
      </w:pPr>
      <w:r w:rsidRPr="00706443">
        <w:rPr>
          <w:rStyle w:val="FootnoteReference"/>
          <w:rFonts w:ascii="Segoe UI Light" w:hAnsi="Segoe UI Light" w:cs="Segoe UI Light"/>
        </w:rPr>
        <w:footnoteRef/>
      </w:r>
      <w:r w:rsidRPr="00706443">
        <w:rPr>
          <w:rFonts w:ascii="Segoe UI Light" w:hAnsi="Segoe UI Light" w:cs="Segoe UI Light"/>
        </w:rPr>
        <w:t xml:space="preserve"> ABS (2022) </w:t>
      </w:r>
      <w:hyperlink r:id="rId4" w:anchor="data-download" w:history="1">
        <w:r w:rsidRPr="00706443">
          <w:rPr>
            <w:rStyle w:val="Hyperlink"/>
            <w:rFonts w:ascii="Segoe UI Light" w:hAnsi="Segoe UI Light" w:cs="Segoe UI Light"/>
            <w:i/>
          </w:rPr>
          <w:t xml:space="preserve">Labour Force, Australia, </w:t>
        </w:r>
        <w:r w:rsidR="00430B29">
          <w:rPr>
            <w:rStyle w:val="Hyperlink"/>
            <w:rFonts w:ascii="Segoe UI Light" w:hAnsi="Segoe UI Light" w:cs="Segoe UI Light"/>
            <w:i/>
          </w:rPr>
          <w:t>October</w:t>
        </w:r>
        <w:r w:rsidRPr="00706443">
          <w:rPr>
            <w:rStyle w:val="Hyperlink"/>
            <w:rFonts w:ascii="Segoe UI Light" w:hAnsi="Segoe UI Light" w:cs="Segoe UI Light"/>
            <w:i/>
          </w:rPr>
          <w:t xml:space="preserve"> 2022</w:t>
        </w:r>
      </w:hyperlink>
      <w:r w:rsidRPr="00706443">
        <w:rPr>
          <w:rFonts w:ascii="Segoe UI Light" w:hAnsi="Segoe UI Light" w:cs="Segoe UI Light"/>
        </w:rPr>
        <w:t xml:space="preserve">, released on </w:t>
      </w:r>
      <w:r w:rsidR="00430B29">
        <w:rPr>
          <w:rFonts w:ascii="Segoe UI Light" w:hAnsi="Segoe UI Light" w:cs="Segoe UI Light"/>
        </w:rPr>
        <w:t>17</w:t>
      </w:r>
      <w:r w:rsidRPr="00706443">
        <w:rPr>
          <w:rFonts w:ascii="Segoe UI Light" w:hAnsi="Segoe UI Light" w:cs="Segoe UI Light"/>
        </w:rPr>
        <w:t xml:space="preserve"> </w:t>
      </w:r>
      <w:r w:rsidR="00430B29">
        <w:rPr>
          <w:rFonts w:ascii="Segoe UI Light" w:hAnsi="Segoe UI Light" w:cs="Segoe UI Light"/>
        </w:rPr>
        <w:t>November</w:t>
      </w:r>
      <w:r w:rsidRPr="00706443">
        <w:rPr>
          <w:rFonts w:ascii="Segoe UI Light" w:hAnsi="Segoe UI Light" w:cs="Segoe UI Light"/>
        </w:rPr>
        <w:t xml:space="preserve"> 2022.</w:t>
      </w:r>
    </w:p>
  </w:footnote>
  <w:footnote w:id="7">
    <w:p w14:paraId="66E1774E" w14:textId="77777777" w:rsidR="000810FD" w:rsidRPr="00706443" w:rsidRDefault="000810FD" w:rsidP="00B15D1E">
      <w:pPr>
        <w:pStyle w:val="FootnoteText"/>
        <w:rPr>
          <w:rFonts w:ascii="Segoe UI Light" w:hAnsi="Segoe UI Light" w:cs="Segoe UI Light"/>
        </w:rPr>
      </w:pPr>
      <w:r w:rsidRPr="00706443">
        <w:rPr>
          <w:rStyle w:val="FootnoteReference"/>
          <w:rFonts w:ascii="Segoe UI Light" w:eastAsiaTheme="majorEastAsia" w:hAnsi="Segoe UI Light" w:cs="Segoe UI Light"/>
        </w:rPr>
        <w:footnoteRef/>
      </w:r>
      <w:r w:rsidRPr="00706443">
        <w:rPr>
          <w:rFonts w:ascii="Segoe UI Light" w:hAnsi="Segoe UI Light" w:cs="Segoe UI Light"/>
        </w:rPr>
        <w:t xml:space="preserve"> ABS (2022) </w:t>
      </w:r>
      <w:hyperlink r:id="rId5">
        <w:r w:rsidRPr="00706443">
          <w:rPr>
            <w:rStyle w:val="Hyperlink"/>
            <w:rFonts w:ascii="Segoe UI Light" w:eastAsiaTheme="majorEastAsia" w:hAnsi="Segoe UI Light" w:cs="Segoe UI Light"/>
            <w:i/>
          </w:rPr>
          <w:t>Labour Force, Australia</w:t>
        </w:r>
      </w:hyperlink>
      <w:hyperlink r:id="rId6">
        <w:r w:rsidRPr="00706443">
          <w:rPr>
            <w:rStyle w:val="Hyperlink"/>
            <w:rFonts w:ascii="Segoe UI Light" w:eastAsiaTheme="majorEastAsia" w:hAnsi="Segoe UI Light" w:cs="Segoe UI Light"/>
            <w:i/>
          </w:rPr>
          <w:t>, August 2022</w:t>
        </w:r>
      </w:hyperlink>
      <w:r w:rsidRPr="00706443">
        <w:rPr>
          <w:rFonts w:ascii="Segoe UI Light" w:hAnsi="Segoe UI Light" w:cs="Segoe UI Light"/>
        </w:rPr>
        <w:t>, released on 15 September 2022.</w:t>
      </w:r>
    </w:p>
  </w:footnote>
  <w:footnote w:id="8">
    <w:p w14:paraId="72AACACB" w14:textId="77777777" w:rsidR="000810FD" w:rsidRPr="00706443" w:rsidRDefault="000810FD" w:rsidP="00B15D1E">
      <w:pPr>
        <w:pStyle w:val="FootnoteText"/>
        <w:rPr>
          <w:rFonts w:ascii="Segoe UI Light" w:hAnsi="Segoe UI Light" w:cs="Segoe UI Light"/>
        </w:rPr>
      </w:pPr>
      <w:r w:rsidRPr="00706443">
        <w:rPr>
          <w:rStyle w:val="FootnoteReference"/>
          <w:rFonts w:ascii="Segoe UI Light" w:eastAsiaTheme="majorEastAsia" w:hAnsi="Segoe UI Light" w:cs="Segoe UI Light"/>
        </w:rPr>
        <w:footnoteRef/>
      </w:r>
      <w:r w:rsidRPr="00706443">
        <w:rPr>
          <w:rFonts w:ascii="Segoe UI Light" w:hAnsi="Segoe UI Light" w:cs="Segoe UI Light"/>
        </w:rPr>
        <w:t xml:space="preserve"> ABS (2022) </w:t>
      </w:r>
      <w:hyperlink r:id="rId7">
        <w:r w:rsidRPr="00706443">
          <w:rPr>
            <w:rStyle w:val="Hyperlink"/>
            <w:rFonts w:ascii="Segoe UI Light" w:eastAsiaTheme="majorEastAsia" w:hAnsi="Segoe UI Light" w:cs="Segoe UI Light"/>
            <w:i/>
          </w:rPr>
          <w:t>Labour Force Detailed, Australia</w:t>
        </w:r>
      </w:hyperlink>
      <w:hyperlink r:id="rId8">
        <w:r w:rsidRPr="00706443">
          <w:rPr>
            <w:rStyle w:val="Hyperlink"/>
            <w:rFonts w:ascii="Segoe UI Light" w:eastAsiaTheme="majorEastAsia" w:hAnsi="Segoe UI Light" w:cs="Segoe UI Light"/>
            <w:i/>
          </w:rPr>
          <w:t>, August 2022</w:t>
        </w:r>
      </w:hyperlink>
      <w:r w:rsidRPr="00706443">
        <w:rPr>
          <w:rFonts w:ascii="Segoe UI Light" w:hAnsi="Segoe UI Light" w:cs="Segoe UI Light"/>
        </w:rPr>
        <w:t>, seasonally adjusted, released 15 September 2022.</w:t>
      </w:r>
    </w:p>
  </w:footnote>
  <w:footnote w:id="9">
    <w:p w14:paraId="1D32B753" w14:textId="77777777" w:rsidR="000810FD" w:rsidRPr="00706443" w:rsidRDefault="000810FD" w:rsidP="00B15D1E">
      <w:pPr>
        <w:pStyle w:val="FootnoteText"/>
        <w:rPr>
          <w:rFonts w:ascii="Segoe UI Light" w:hAnsi="Segoe UI Light" w:cs="Segoe UI Light"/>
        </w:rPr>
      </w:pPr>
      <w:r w:rsidRPr="00706443">
        <w:rPr>
          <w:rStyle w:val="FootnoteReference"/>
          <w:rFonts w:ascii="Segoe UI Light" w:eastAsiaTheme="majorEastAsia" w:hAnsi="Segoe UI Light" w:cs="Segoe UI Light"/>
        </w:rPr>
        <w:footnoteRef/>
      </w:r>
      <w:r w:rsidRPr="00706443">
        <w:rPr>
          <w:rFonts w:ascii="Segoe UI Light" w:hAnsi="Segoe UI Light" w:cs="Segoe UI Light"/>
        </w:rPr>
        <w:t xml:space="preserve"> WGEA (2022) </w:t>
      </w:r>
      <w:hyperlink r:id="rId9" w:history="1">
        <w:r w:rsidRPr="00706443">
          <w:rPr>
            <w:rStyle w:val="Hyperlink"/>
            <w:rFonts w:ascii="Segoe UI Light" w:eastAsiaTheme="majorEastAsia" w:hAnsi="Segoe UI Light" w:cs="Segoe UI Light"/>
            <w:i/>
          </w:rPr>
          <w:t>Wages and ages infographic</w:t>
        </w:r>
      </w:hyperlink>
      <w:r w:rsidRPr="00706443">
        <w:rPr>
          <w:rFonts w:ascii="Segoe UI Light" w:hAnsi="Segoe UI Light" w:cs="Segoe UI Light"/>
          <w:i/>
        </w:rPr>
        <w:t xml:space="preserve">, </w:t>
      </w:r>
      <w:r w:rsidRPr="00706443">
        <w:rPr>
          <w:rFonts w:ascii="Segoe UI Light" w:hAnsi="Segoe UI Light" w:cs="Segoe UI Light"/>
        </w:rPr>
        <w:t xml:space="preserve">accessed on 27 September 2022.  </w:t>
      </w:r>
    </w:p>
  </w:footnote>
  <w:footnote w:id="10">
    <w:p w14:paraId="223D9E68" w14:textId="77777777" w:rsidR="000810FD" w:rsidRPr="00C31596" w:rsidRDefault="000810FD" w:rsidP="00233E77">
      <w:pPr>
        <w:pStyle w:val="FootnoteText"/>
      </w:pPr>
      <w:r w:rsidRPr="00706443">
        <w:rPr>
          <w:rStyle w:val="FootnoteReference"/>
          <w:rFonts w:ascii="Segoe UI Light" w:eastAsiaTheme="majorEastAsia" w:hAnsi="Segoe UI Light" w:cs="Segoe UI Light"/>
        </w:rPr>
        <w:footnoteRef/>
      </w:r>
      <w:r w:rsidRPr="00706443">
        <w:rPr>
          <w:rFonts w:ascii="Segoe UI Light" w:hAnsi="Segoe UI Light" w:cs="Segoe UI Light"/>
        </w:rPr>
        <w:t xml:space="preserve"> Equity Economics (2021) </w:t>
      </w:r>
      <w:r w:rsidRPr="00706443">
        <w:rPr>
          <w:rFonts w:ascii="Segoe UI Light" w:hAnsi="Segoe UI Light" w:cs="Segoe UI Light"/>
          <w:i/>
        </w:rPr>
        <w:t>Back of the pack – How Australia’s parenting policies are failing women and our economy</w:t>
      </w:r>
      <w:r w:rsidRPr="00706443">
        <w:rPr>
          <w:rFonts w:ascii="Segoe UI Light" w:hAnsi="Segoe UI Light" w:cs="Segoe UI Light"/>
        </w:rPr>
        <w:t xml:space="preserve">, December 2021, p 9 and CEW (Chief Executive Women) (2002) </w:t>
      </w:r>
      <w:r w:rsidRPr="00706443">
        <w:rPr>
          <w:rFonts w:ascii="Segoe UI Light" w:hAnsi="Segoe UI Light" w:cs="Segoe UI Light"/>
          <w:i/>
          <w:iCs/>
        </w:rPr>
        <w:t xml:space="preserve">Addressing Australia's critical skill shortages: Unlocking women's economic participation, </w:t>
      </w:r>
      <w:r w:rsidRPr="00706443">
        <w:rPr>
          <w:rFonts w:ascii="Segoe UI Light" w:hAnsi="Segoe UI Light" w:cs="Segoe UI Light"/>
        </w:rPr>
        <w:t>Sydney.</w:t>
      </w:r>
    </w:p>
  </w:footnote>
  <w:footnote w:id="11">
    <w:p w14:paraId="5FD3AFF7" w14:textId="073FAD17" w:rsidR="000810FD" w:rsidRPr="009259C7" w:rsidRDefault="000810FD" w:rsidP="00F811E9">
      <w:pPr>
        <w:pStyle w:val="FootnoteText"/>
        <w:rPr>
          <w:rFonts w:ascii="Segoe UI Light" w:hAnsi="Segoe UI Light" w:cs="Segoe UI Light"/>
        </w:rPr>
      </w:pPr>
      <w:r w:rsidRPr="009259C7">
        <w:rPr>
          <w:rStyle w:val="FootnoteReference"/>
          <w:rFonts w:ascii="Segoe UI Light" w:hAnsi="Segoe UI Light" w:cs="Segoe UI Light"/>
        </w:rPr>
        <w:footnoteRef/>
      </w:r>
      <w:r w:rsidRPr="009259C7">
        <w:rPr>
          <w:rFonts w:ascii="Segoe UI Light" w:hAnsi="Segoe UI Light" w:cs="Segoe UI Light"/>
        </w:rPr>
        <w:t xml:space="preserve"> ABS (2022) </w:t>
      </w:r>
      <w:r w:rsidRPr="009259C7">
        <w:rPr>
          <w:rFonts w:ascii="Segoe UI Light" w:hAnsi="Segoe UI Light" w:cs="Segoe UI Light"/>
          <w:i/>
        </w:rPr>
        <w:t>Labour Force, Australia, Detailed, Quarterly</w:t>
      </w:r>
      <w:r w:rsidRPr="009259C7">
        <w:rPr>
          <w:rFonts w:ascii="Segoe UI Light" w:hAnsi="Segoe UI Light" w:cs="Segoe UI Light"/>
        </w:rPr>
        <w:t>, August 2022, accessed on 9 November 2022.</w:t>
      </w:r>
    </w:p>
  </w:footnote>
  <w:footnote w:id="12">
    <w:p w14:paraId="06EC56D2" w14:textId="15F91FCA" w:rsidR="000810FD" w:rsidRPr="00B42E72" w:rsidRDefault="000810FD">
      <w:pPr>
        <w:pStyle w:val="FootnoteText"/>
        <w:rPr>
          <w:rFonts w:ascii="Segoe UI Light" w:hAnsi="Segoe UI Light" w:cs="Segoe UI Light"/>
          <w:b/>
          <w:bCs/>
          <w:i/>
        </w:rPr>
      </w:pPr>
      <w:r w:rsidRPr="00B42E72">
        <w:rPr>
          <w:rStyle w:val="FootnoteReference"/>
          <w:rFonts w:ascii="Segoe UI Light" w:hAnsi="Segoe UI Light" w:cs="Segoe UI Light"/>
        </w:rPr>
        <w:footnoteRef/>
      </w:r>
      <w:r w:rsidRPr="00B42E72">
        <w:rPr>
          <w:rFonts w:ascii="Segoe UI Light" w:hAnsi="Segoe UI Light" w:cs="Segoe UI Light"/>
        </w:rPr>
        <w:t xml:space="preserve"> </w:t>
      </w:r>
      <w:r>
        <w:rPr>
          <w:rFonts w:ascii="Segoe UI Light" w:hAnsi="Segoe UI Light" w:cs="Segoe UI Light"/>
        </w:rPr>
        <w:t>Craig L and Churchill B (2021) ‘</w:t>
      </w:r>
      <w:r w:rsidRPr="00B42E72">
        <w:rPr>
          <w:rFonts w:ascii="Segoe UI Light" w:hAnsi="Segoe UI Light" w:cs="Segoe UI Light"/>
          <w:bCs/>
        </w:rPr>
        <w:t xml:space="preserve">Unpaid Work and Care </w:t>
      </w:r>
      <w:proofErr w:type="gramStart"/>
      <w:r w:rsidRPr="00B42E72">
        <w:rPr>
          <w:rFonts w:ascii="Segoe UI Light" w:hAnsi="Segoe UI Light" w:cs="Segoe UI Light"/>
          <w:bCs/>
        </w:rPr>
        <w:t>During</w:t>
      </w:r>
      <w:proofErr w:type="gramEnd"/>
      <w:r w:rsidRPr="00B42E72">
        <w:rPr>
          <w:rFonts w:ascii="Segoe UI Light" w:hAnsi="Segoe UI Light" w:cs="Segoe UI Light"/>
          <w:bCs/>
        </w:rPr>
        <w:t xml:space="preserve"> COVID-19: Subjective Experiences of Same-Sex Couples and Single Mothers in Australia</w:t>
      </w:r>
      <w:r>
        <w:rPr>
          <w:rFonts w:ascii="Segoe UI Light" w:hAnsi="Segoe UI Light" w:cs="Segoe UI Light"/>
          <w:bCs/>
        </w:rPr>
        <w:t xml:space="preserve">’, </w:t>
      </w:r>
      <w:r>
        <w:rPr>
          <w:rFonts w:ascii="Segoe UI Light" w:hAnsi="Segoe UI Light" w:cs="Segoe UI Light"/>
          <w:bCs/>
          <w:i/>
        </w:rPr>
        <w:t>Gender and Society</w:t>
      </w:r>
      <w:r w:rsidRPr="00B42E72">
        <w:rPr>
          <w:rFonts w:ascii="Segoe UI Light" w:hAnsi="Segoe UI Light" w:cs="Segoe UI Light"/>
          <w:bCs/>
        </w:rPr>
        <w:t>, 35(2)</w:t>
      </w:r>
      <w:r>
        <w:rPr>
          <w:rFonts w:ascii="Segoe UI Light" w:hAnsi="Segoe UI Light" w:cs="Segoe UI Light"/>
          <w:bCs/>
        </w:rPr>
        <w:t xml:space="preserve">, DOI: </w:t>
      </w:r>
      <w:hyperlink r:id="rId10" w:history="1">
        <w:r w:rsidRPr="00B42E72">
          <w:rPr>
            <w:rStyle w:val="Hyperlink"/>
            <w:rFonts w:ascii="Segoe UI Light" w:hAnsi="Segoe UI Light" w:cs="Segoe UI Light"/>
            <w:bCs/>
          </w:rPr>
          <w:t>08912432211001303</w:t>
        </w:r>
      </w:hyperlink>
      <w:r>
        <w:rPr>
          <w:rFonts w:ascii="Segoe UI Light" w:hAnsi="Segoe UI Light" w:cs="Segoe UI Light"/>
          <w:b/>
          <w:bCs/>
          <w:i/>
        </w:rPr>
        <w:t>.</w:t>
      </w:r>
    </w:p>
  </w:footnote>
  <w:footnote w:id="13">
    <w:p w14:paraId="5C938978" w14:textId="77777777" w:rsidR="000810FD" w:rsidRPr="009259C7" w:rsidRDefault="000810FD" w:rsidP="00233E77">
      <w:pPr>
        <w:pStyle w:val="FootnoteText"/>
        <w:rPr>
          <w:rFonts w:ascii="Segoe UI Light" w:hAnsi="Segoe UI Light" w:cs="Segoe UI Light"/>
        </w:rPr>
      </w:pPr>
      <w:r w:rsidRPr="009259C7">
        <w:rPr>
          <w:rStyle w:val="FootnoteReference"/>
          <w:rFonts w:ascii="Segoe UI Light" w:eastAsiaTheme="majorEastAsia" w:hAnsi="Segoe UI Light" w:cs="Segoe UI Light"/>
        </w:rPr>
        <w:footnoteRef/>
      </w:r>
      <w:r w:rsidRPr="009259C7">
        <w:rPr>
          <w:rFonts w:ascii="Segoe UI Light" w:hAnsi="Segoe UI Light" w:cs="Segoe UI Light"/>
        </w:rPr>
        <w:t xml:space="preserve"> WGEA (Workplace Gender Equality Agency) (2022) </w:t>
      </w:r>
      <w:hyperlink r:id="rId11" w:history="1">
        <w:r w:rsidRPr="009259C7">
          <w:rPr>
            <w:rStyle w:val="Hyperlink"/>
            <w:rFonts w:ascii="Segoe UI Light" w:eastAsiaTheme="majorEastAsia" w:hAnsi="Segoe UI Light" w:cs="Segoe UI Light"/>
            <w:i/>
          </w:rPr>
          <w:t>Australia’s gender equality scorecard 2020–21</w:t>
        </w:r>
      </w:hyperlink>
      <w:r w:rsidRPr="009259C7">
        <w:rPr>
          <w:rFonts w:ascii="Segoe UI Light" w:hAnsi="Segoe UI Light" w:cs="Segoe UI Light"/>
          <w:i/>
        </w:rPr>
        <w:t xml:space="preserve">, </w:t>
      </w:r>
      <w:r w:rsidRPr="009259C7">
        <w:rPr>
          <w:rFonts w:ascii="Segoe UI Light" w:hAnsi="Segoe UI Light" w:cs="Segoe UI Light"/>
        </w:rPr>
        <w:t>Sydney, February 2022.</w:t>
      </w:r>
    </w:p>
  </w:footnote>
  <w:footnote w:id="14">
    <w:p w14:paraId="230DA0E1" w14:textId="77777777" w:rsidR="000810FD" w:rsidRPr="009259C7" w:rsidRDefault="000810FD" w:rsidP="00233E77">
      <w:pPr>
        <w:pStyle w:val="FootnoteText"/>
        <w:rPr>
          <w:rFonts w:ascii="Segoe UI Light" w:hAnsi="Segoe UI Light" w:cs="Segoe UI Light"/>
        </w:rPr>
      </w:pPr>
      <w:r w:rsidRPr="009259C7">
        <w:rPr>
          <w:rStyle w:val="FootnoteReference"/>
          <w:rFonts w:ascii="Segoe UI Light" w:eastAsiaTheme="majorEastAsia" w:hAnsi="Segoe UI Light" w:cs="Segoe UI Light"/>
        </w:rPr>
        <w:footnoteRef/>
      </w:r>
      <w:r w:rsidRPr="009259C7">
        <w:rPr>
          <w:rFonts w:ascii="Segoe UI Light" w:hAnsi="Segoe UI Light" w:cs="Segoe UI Light"/>
        </w:rPr>
        <w:t xml:space="preserve"> CEW (Chief Executive Women) (2022) </w:t>
      </w:r>
      <w:r w:rsidRPr="009259C7">
        <w:rPr>
          <w:rFonts w:ascii="Segoe UI Light" w:hAnsi="Segoe UI Light" w:cs="Segoe UI Light"/>
          <w:i/>
          <w:iCs/>
        </w:rPr>
        <w:t xml:space="preserve">Addressing Australia's critical skill shortages: Unlocking women's economic participation, </w:t>
      </w:r>
      <w:r w:rsidRPr="009259C7">
        <w:rPr>
          <w:rFonts w:ascii="Segoe UI Light" w:hAnsi="Segoe UI Light" w:cs="Segoe UI Light"/>
        </w:rPr>
        <w:t>Sydney.</w:t>
      </w:r>
    </w:p>
  </w:footnote>
  <w:footnote w:id="15">
    <w:p w14:paraId="0595BA53" w14:textId="7F5B6115" w:rsidR="000810FD" w:rsidRDefault="000810FD">
      <w:pPr>
        <w:pStyle w:val="FootnoteText"/>
      </w:pPr>
      <w:r w:rsidRPr="009259C7">
        <w:rPr>
          <w:rStyle w:val="FootnoteReference"/>
          <w:rFonts w:ascii="Segoe UI Light" w:hAnsi="Segoe UI Light" w:cs="Segoe UI Light"/>
        </w:rPr>
        <w:footnoteRef/>
      </w:r>
      <w:r w:rsidRPr="009259C7">
        <w:rPr>
          <w:rFonts w:ascii="Segoe UI Light" w:hAnsi="Segoe UI Light" w:cs="Segoe UI Light"/>
        </w:rPr>
        <w:t xml:space="preserve"> Australia Government (2022) </w:t>
      </w:r>
      <w:hyperlink r:id="rId12" w:history="1">
        <w:r w:rsidRPr="009259C7">
          <w:rPr>
            <w:rStyle w:val="Hyperlink"/>
            <w:rFonts w:ascii="Segoe UI Light" w:hAnsi="Segoe UI Light" w:cs="Segoe UI Light"/>
            <w:i/>
          </w:rPr>
          <w:t>Women’s Budget Statement October 2022-23</w:t>
        </w:r>
      </w:hyperlink>
      <w:r w:rsidRPr="009259C7">
        <w:rPr>
          <w:rFonts w:ascii="Segoe UI Light" w:hAnsi="Segoe UI Light" w:cs="Segoe UI Light"/>
        </w:rPr>
        <w:t>, 25 October 2022</w:t>
      </w:r>
      <w:r>
        <w:t xml:space="preserve"> </w:t>
      </w:r>
    </w:p>
  </w:footnote>
  <w:footnote w:id="16">
    <w:p w14:paraId="78D9C3A4" w14:textId="11B97D7C" w:rsidR="000810FD" w:rsidRPr="009259C7" w:rsidRDefault="000810FD">
      <w:pPr>
        <w:pStyle w:val="FootnoteText"/>
        <w:rPr>
          <w:rFonts w:ascii="Segoe UI Light" w:hAnsi="Segoe UI Light" w:cs="Segoe UI Light"/>
        </w:rPr>
      </w:pPr>
      <w:r w:rsidRPr="009259C7">
        <w:rPr>
          <w:rStyle w:val="FootnoteReference"/>
          <w:rFonts w:ascii="Segoe UI Light" w:hAnsi="Segoe UI Light" w:cs="Segoe UI Light"/>
        </w:rPr>
        <w:footnoteRef/>
      </w:r>
      <w:r w:rsidRPr="009259C7">
        <w:rPr>
          <w:rFonts w:ascii="Segoe UI Light" w:hAnsi="Segoe UI Light" w:cs="Segoe UI Light"/>
        </w:rPr>
        <w:t xml:space="preserve"> ABS (2022) </w:t>
      </w:r>
      <w:hyperlink r:id="rId13" w:anchor="industry-occupation-and-sector" w:history="1">
        <w:r w:rsidRPr="009259C7">
          <w:rPr>
            <w:rStyle w:val="Hyperlink"/>
            <w:rFonts w:ascii="Segoe UI Light" w:hAnsi="Segoe UI Light" w:cs="Segoe UI Light"/>
            <w:i/>
          </w:rPr>
          <w:t>Labour Force, Australia, Detailed, Quarterly</w:t>
        </w:r>
      </w:hyperlink>
      <w:r w:rsidRPr="009259C7">
        <w:rPr>
          <w:rFonts w:ascii="Segoe UI Light" w:hAnsi="Segoe UI Light" w:cs="Segoe UI Light"/>
          <w:i/>
        </w:rPr>
        <w:t xml:space="preserve">, </w:t>
      </w:r>
      <w:r w:rsidRPr="009259C7">
        <w:rPr>
          <w:rFonts w:ascii="Segoe UI Light" w:hAnsi="Segoe UI Light" w:cs="Segoe UI Light"/>
        </w:rPr>
        <w:t>August 2022, accessed on 9 November 2022.</w:t>
      </w:r>
    </w:p>
  </w:footnote>
  <w:footnote w:id="17">
    <w:p w14:paraId="7FD84B08" w14:textId="77777777" w:rsidR="000810FD" w:rsidRPr="009259C7" w:rsidRDefault="000810FD" w:rsidP="006F5E8D">
      <w:pPr>
        <w:pStyle w:val="FootnoteText"/>
        <w:rPr>
          <w:rFonts w:ascii="Segoe UI Light" w:hAnsi="Segoe UI Light" w:cs="Segoe UI Light"/>
          <w:b/>
        </w:rPr>
      </w:pPr>
      <w:r w:rsidRPr="009259C7">
        <w:rPr>
          <w:rStyle w:val="FootnoteReference"/>
          <w:rFonts w:ascii="Segoe UI Light" w:eastAsiaTheme="majorEastAsia" w:hAnsi="Segoe UI Light" w:cs="Segoe UI Light"/>
        </w:rPr>
        <w:footnoteRef/>
      </w:r>
      <w:r w:rsidRPr="009259C7">
        <w:rPr>
          <w:rFonts w:ascii="Segoe UI Light" w:hAnsi="Segoe UI Light" w:cs="Segoe UI Light"/>
        </w:rPr>
        <w:t xml:space="preserve"> Goldman Sachs (2019)</w:t>
      </w:r>
      <w:r w:rsidRPr="009259C7">
        <w:rPr>
          <w:rFonts w:ascii="Segoe UI Light" w:hAnsi="Segoe UI Light" w:cs="Segoe UI Light"/>
          <w:i/>
        </w:rPr>
        <w:t xml:space="preserve"> </w:t>
      </w:r>
      <w:proofErr w:type="spellStart"/>
      <w:r w:rsidRPr="009259C7">
        <w:rPr>
          <w:rFonts w:ascii="Segoe UI Light" w:hAnsi="Segoe UI Light" w:cs="Segoe UI Light"/>
          <w:i/>
        </w:rPr>
        <w:t>Womenomics</w:t>
      </w:r>
      <w:proofErr w:type="spellEnd"/>
      <w:r w:rsidRPr="009259C7">
        <w:rPr>
          <w:rFonts w:ascii="Segoe UI Light" w:hAnsi="Segoe UI Light" w:cs="Segoe UI Light"/>
          <w:i/>
        </w:rPr>
        <w:t xml:space="preserve"> in Australia – Some progress, but more potential</w:t>
      </w:r>
      <w:r w:rsidRPr="009259C7">
        <w:rPr>
          <w:rFonts w:ascii="Segoe UI Light" w:hAnsi="Segoe UI Light" w:cs="Segoe UI Light"/>
        </w:rPr>
        <w:t>, Australia, 26 November 2019.</w:t>
      </w:r>
    </w:p>
  </w:footnote>
  <w:footnote w:id="18">
    <w:p w14:paraId="27C36FA3" w14:textId="77777777" w:rsidR="000810FD" w:rsidRPr="009259C7" w:rsidRDefault="000810FD" w:rsidP="006F5E8D">
      <w:pPr>
        <w:pStyle w:val="FootnoteText"/>
        <w:rPr>
          <w:rFonts w:ascii="Segoe UI Light" w:hAnsi="Segoe UI Light" w:cs="Segoe UI Light"/>
        </w:rPr>
      </w:pPr>
      <w:r w:rsidRPr="009259C7">
        <w:rPr>
          <w:rStyle w:val="FootnoteReference"/>
          <w:rFonts w:ascii="Segoe UI Light" w:eastAsiaTheme="majorEastAsia" w:hAnsi="Segoe UI Light" w:cs="Segoe UI Light"/>
        </w:rPr>
        <w:footnoteRef/>
      </w:r>
      <w:r w:rsidRPr="009259C7">
        <w:rPr>
          <w:rFonts w:ascii="Segoe UI Light" w:hAnsi="Segoe UI Light" w:cs="Segoe UI Light"/>
        </w:rPr>
        <w:t xml:space="preserve"> Catalyst (2020) </w:t>
      </w:r>
      <w:hyperlink r:id="rId14" w:history="1">
        <w:r w:rsidRPr="009259C7">
          <w:rPr>
            <w:rStyle w:val="Hyperlink"/>
            <w:rFonts w:ascii="Segoe UI Light" w:eastAsiaTheme="majorEastAsia" w:hAnsi="Segoe UI Light" w:cs="Segoe UI Light"/>
            <w:i/>
          </w:rPr>
          <w:t>Why Diversity and Inclusion Matter (Quick Take)</w:t>
        </w:r>
      </w:hyperlink>
      <w:r w:rsidRPr="009259C7">
        <w:rPr>
          <w:rFonts w:ascii="Segoe UI Light" w:hAnsi="Segoe UI Light" w:cs="Segoe UI Light"/>
        </w:rPr>
        <w:t xml:space="preserve">, Catalyst, accessed 20 September 2022. </w:t>
      </w:r>
    </w:p>
  </w:footnote>
  <w:footnote w:id="19">
    <w:p w14:paraId="0F9E9244" w14:textId="77777777" w:rsidR="000810FD" w:rsidRPr="009259C7" w:rsidRDefault="000810FD" w:rsidP="006F5E8D">
      <w:pPr>
        <w:pStyle w:val="FootnoteText"/>
        <w:rPr>
          <w:rFonts w:ascii="Segoe UI Light" w:hAnsi="Segoe UI Light" w:cs="Segoe UI Light"/>
        </w:rPr>
      </w:pPr>
      <w:r w:rsidRPr="009259C7">
        <w:rPr>
          <w:rStyle w:val="FootnoteReference"/>
          <w:rFonts w:ascii="Segoe UI Light" w:eastAsiaTheme="majorEastAsia" w:hAnsi="Segoe UI Light" w:cs="Segoe UI Light"/>
        </w:rPr>
        <w:footnoteRef/>
      </w:r>
      <w:r w:rsidRPr="009259C7">
        <w:rPr>
          <w:rFonts w:ascii="Segoe UI Light" w:hAnsi="Segoe UI Light" w:cs="Segoe UI Light"/>
        </w:rPr>
        <w:t xml:space="preserve"> Department of Prime Minister and Cabinet (2021) </w:t>
      </w:r>
      <w:r w:rsidRPr="009259C7">
        <w:rPr>
          <w:rFonts w:ascii="Segoe UI Light" w:hAnsi="Segoe UI Light" w:cs="Segoe UI Light"/>
          <w:i/>
        </w:rPr>
        <w:t xml:space="preserve">WGEA Review Report: Review of the Workplace Gender Equality Act 2012, </w:t>
      </w:r>
      <w:r w:rsidRPr="009259C7">
        <w:rPr>
          <w:rFonts w:ascii="Segoe UI Light" w:hAnsi="Segoe UI Light" w:cs="Segoe UI Light"/>
        </w:rPr>
        <w:t>December 2021, p 38.</w:t>
      </w:r>
    </w:p>
  </w:footnote>
  <w:footnote w:id="20">
    <w:p w14:paraId="0C1EE6C0" w14:textId="77777777" w:rsidR="000810FD" w:rsidRPr="009259C7" w:rsidRDefault="000810FD" w:rsidP="00B15D1E">
      <w:pPr>
        <w:pStyle w:val="FootnoteText"/>
        <w:rPr>
          <w:rFonts w:ascii="Segoe UI Light" w:hAnsi="Segoe UI Light" w:cs="Segoe UI Light"/>
        </w:rPr>
      </w:pPr>
      <w:r w:rsidRPr="009259C7">
        <w:rPr>
          <w:rStyle w:val="FootnoteReference"/>
          <w:rFonts w:ascii="Segoe UI Light" w:eastAsiaTheme="majorEastAsia" w:hAnsi="Segoe UI Light" w:cs="Segoe UI Light"/>
        </w:rPr>
        <w:footnoteRef/>
      </w:r>
      <w:r w:rsidRPr="009259C7">
        <w:rPr>
          <w:rFonts w:ascii="Segoe UI Light" w:hAnsi="Segoe UI Light" w:cs="Segoe UI Light"/>
        </w:rPr>
        <w:t xml:space="preserve"> ACARA (Australian Curriculum, Assessment and Reporting Authority) (</w:t>
      </w:r>
      <w:proofErr w:type="spellStart"/>
      <w:r w:rsidRPr="009259C7">
        <w:rPr>
          <w:rFonts w:ascii="Segoe UI Light" w:hAnsi="Segoe UI Light" w:cs="Segoe UI Light"/>
        </w:rPr>
        <w:t>n.d.</w:t>
      </w:r>
      <w:proofErr w:type="spellEnd"/>
      <w:r w:rsidRPr="009259C7">
        <w:rPr>
          <w:rFonts w:ascii="Segoe UI Light" w:hAnsi="Segoe UI Light" w:cs="Segoe UI Light"/>
        </w:rPr>
        <w:t xml:space="preserve">) ‘2021 Apparent retention rates from Year 10 to Year 12’, </w:t>
      </w:r>
      <w:hyperlink r:id="rId15" w:anchor="dataset" w:history="1">
        <w:r w:rsidRPr="009259C7">
          <w:rPr>
            <w:rStyle w:val="Hyperlink"/>
            <w:rFonts w:ascii="Segoe UI Light" w:eastAsiaTheme="majorEastAsia" w:hAnsi="Segoe UI Light" w:cs="Segoe UI Light"/>
            <w:i/>
          </w:rPr>
          <w:t>Key Performance Measures for Schooling in Australia</w:t>
        </w:r>
        <w:r w:rsidRPr="009259C7">
          <w:rPr>
            <w:rStyle w:val="Hyperlink"/>
            <w:rFonts w:ascii="Segoe UI Light" w:eastAsiaTheme="majorEastAsia" w:hAnsi="Segoe UI Light" w:cs="Segoe UI Light"/>
          </w:rPr>
          <w:t>,</w:t>
        </w:r>
      </w:hyperlink>
      <w:r w:rsidRPr="009259C7">
        <w:rPr>
          <w:rFonts w:ascii="Segoe UI Light" w:hAnsi="Segoe UI Light" w:cs="Segoe UI Light"/>
          <w:i/>
        </w:rPr>
        <w:t xml:space="preserve"> </w:t>
      </w:r>
      <w:r w:rsidRPr="009259C7">
        <w:rPr>
          <w:rFonts w:ascii="Segoe UI Light" w:hAnsi="Segoe UI Light" w:cs="Segoe UI Light"/>
        </w:rPr>
        <w:t>Accessed on 20 September 2022.</w:t>
      </w:r>
    </w:p>
  </w:footnote>
  <w:footnote w:id="21">
    <w:p w14:paraId="1886FACA" w14:textId="77777777" w:rsidR="000810FD" w:rsidRPr="009259C7" w:rsidRDefault="000810FD" w:rsidP="00B15D1E">
      <w:pPr>
        <w:pStyle w:val="FootnoteText"/>
        <w:rPr>
          <w:rFonts w:ascii="Segoe UI Light" w:hAnsi="Segoe UI Light" w:cs="Segoe UI Light"/>
        </w:rPr>
      </w:pPr>
      <w:r w:rsidRPr="009259C7">
        <w:rPr>
          <w:rStyle w:val="FootnoteReference"/>
          <w:rFonts w:ascii="Segoe UI Light" w:eastAsiaTheme="majorEastAsia" w:hAnsi="Segoe UI Light" w:cs="Segoe UI Light"/>
        </w:rPr>
        <w:footnoteRef/>
      </w:r>
      <w:r w:rsidRPr="009259C7">
        <w:rPr>
          <w:rFonts w:ascii="Segoe UI Light" w:hAnsi="Segoe UI Light" w:cs="Segoe UI Light"/>
        </w:rPr>
        <w:t xml:space="preserve"> ACARA (</w:t>
      </w:r>
      <w:proofErr w:type="spellStart"/>
      <w:r w:rsidRPr="009259C7">
        <w:rPr>
          <w:rFonts w:ascii="Segoe UI Light" w:hAnsi="Segoe UI Light" w:cs="Segoe UI Light"/>
        </w:rPr>
        <w:t>n.d.</w:t>
      </w:r>
      <w:proofErr w:type="spellEnd"/>
      <w:r w:rsidRPr="009259C7">
        <w:rPr>
          <w:rFonts w:ascii="Segoe UI Light" w:hAnsi="Segoe UI Light" w:cs="Segoe UI Light"/>
        </w:rPr>
        <w:t xml:space="preserve">) ‘2020 Percentage of Year 12 students enrolled in Mathematics’, </w:t>
      </w:r>
      <w:hyperlink r:id="rId16" w:anchor="view1" w:history="1">
        <w:r w:rsidRPr="009259C7">
          <w:rPr>
            <w:rStyle w:val="Hyperlink"/>
            <w:rFonts w:ascii="Segoe UI Light" w:eastAsiaTheme="majorEastAsia" w:hAnsi="Segoe UI Light" w:cs="Segoe UI Light"/>
            <w:i/>
          </w:rPr>
          <w:t>Year 12 Subject Enrolments</w:t>
        </w:r>
      </w:hyperlink>
      <w:r w:rsidRPr="009259C7">
        <w:rPr>
          <w:rFonts w:ascii="Segoe UI Light" w:hAnsi="Segoe UI Light" w:cs="Segoe UI Light"/>
        </w:rPr>
        <w:t>, accessed on 20 September 2022.</w:t>
      </w:r>
    </w:p>
  </w:footnote>
  <w:footnote w:id="22">
    <w:p w14:paraId="0D4FE337" w14:textId="77777777" w:rsidR="000810FD" w:rsidRPr="009259C7" w:rsidRDefault="000810FD" w:rsidP="00B15D1E">
      <w:pPr>
        <w:pStyle w:val="FootnoteText"/>
        <w:rPr>
          <w:rFonts w:ascii="Segoe UI Light" w:hAnsi="Segoe UI Light" w:cs="Segoe UI Light"/>
        </w:rPr>
      </w:pPr>
      <w:r w:rsidRPr="009259C7">
        <w:rPr>
          <w:rStyle w:val="FootnoteReference"/>
          <w:rFonts w:ascii="Segoe UI Light" w:eastAsiaTheme="majorEastAsia" w:hAnsi="Segoe UI Light" w:cs="Segoe UI Light"/>
        </w:rPr>
        <w:footnoteRef/>
      </w:r>
      <w:r w:rsidRPr="009259C7">
        <w:rPr>
          <w:rFonts w:ascii="Segoe UI Light" w:hAnsi="Segoe UI Light" w:cs="Segoe UI Light"/>
        </w:rPr>
        <w:t xml:space="preserve"> Fitzsimmons T, Yates M and Callan V (2018) </w:t>
      </w:r>
      <w:hyperlink r:id="rId17" w:history="1">
        <w:r w:rsidRPr="009259C7">
          <w:rPr>
            <w:rStyle w:val="Hyperlink"/>
            <w:rFonts w:ascii="Segoe UI Light" w:eastAsiaTheme="majorEastAsia" w:hAnsi="Segoe UI Light" w:cs="Segoe UI Light"/>
            <w:i/>
          </w:rPr>
          <w:t>Hands up for gender equality: A major study into confidence and career intentions of adolescent girls and boys</w:t>
        </w:r>
      </w:hyperlink>
      <w:r w:rsidRPr="009259C7">
        <w:rPr>
          <w:rFonts w:ascii="Segoe UI Light" w:hAnsi="Segoe UI Light" w:cs="Segoe UI Light"/>
        </w:rPr>
        <w:t>, Australian Institute for Business and Economics Centre for Gender Equality in the Workplace, The University of Queensland, Brisbane, pp 38 – 39.</w:t>
      </w:r>
    </w:p>
  </w:footnote>
  <w:footnote w:id="23">
    <w:p w14:paraId="37B10A36" w14:textId="77777777" w:rsidR="000810FD" w:rsidRDefault="000810FD" w:rsidP="00D1151E">
      <w:pPr>
        <w:pStyle w:val="FootnoteText"/>
      </w:pPr>
      <w:r w:rsidRPr="009259C7">
        <w:rPr>
          <w:rStyle w:val="FootnoteReference"/>
          <w:rFonts w:ascii="Segoe UI Light" w:eastAsiaTheme="majorEastAsia" w:hAnsi="Segoe UI Light" w:cs="Segoe UI Light"/>
        </w:rPr>
        <w:footnoteRef/>
      </w:r>
      <w:r w:rsidRPr="009259C7">
        <w:rPr>
          <w:rFonts w:ascii="Segoe UI Light" w:hAnsi="Segoe UI Light" w:cs="Segoe UI Light"/>
        </w:rPr>
        <w:t xml:space="preserve"> </w:t>
      </w:r>
      <w:hyperlink r:id="rId18" w:history="1">
        <w:r w:rsidRPr="009259C7">
          <w:rPr>
            <w:rStyle w:val="Hyperlink"/>
            <w:rFonts w:ascii="Segoe UI Light" w:eastAsiaTheme="majorEastAsia" w:hAnsi="Segoe UI Light" w:cs="Segoe UI Light"/>
          </w:rPr>
          <w:t>https://www.industry.gov.au/publications/stem-equity-monitor/primary-and-secondary-school-data/parents-perceptions-and-attitudes-stem</w:t>
        </w:r>
      </w:hyperlink>
      <w:r>
        <w:t xml:space="preserve"> </w:t>
      </w:r>
    </w:p>
  </w:footnote>
  <w:footnote w:id="24">
    <w:p w14:paraId="6F58B111" w14:textId="37B98B4F" w:rsidR="000810FD" w:rsidRPr="002D6873" w:rsidRDefault="000810FD" w:rsidP="00232702">
      <w:pPr>
        <w:pStyle w:val="FootnoteText"/>
      </w:pPr>
      <w:r>
        <w:rPr>
          <w:rStyle w:val="FootnoteReference"/>
          <w:rFonts w:eastAsiaTheme="majorEastAsia"/>
        </w:rPr>
        <w:footnoteRef/>
      </w:r>
      <w:r>
        <w:t xml:space="preserve"> </w:t>
      </w:r>
      <w:r w:rsidRPr="000854E0">
        <w:rPr>
          <w:rFonts w:ascii="Segoe UI Light" w:hAnsi="Segoe UI Light" w:cs="Segoe UI Light"/>
        </w:rPr>
        <w:t>OECD (2019)</w:t>
      </w:r>
      <w:r w:rsidRPr="000854E0">
        <w:rPr>
          <w:rFonts w:ascii="Segoe UI Light" w:hAnsi="Segoe UI Light" w:cs="Segoe UI Light"/>
          <w:i/>
        </w:rPr>
        <w:t xml:space="preserve"> </w:t>
      </w:r>
      <w:hyperlink r:id="rId19" w:history="1">
        <w:r w:rsidRPr="000854E0">
          <w:rPr>
            <w:rStyle w:val="Hyperlink"/>
            <w:rFonts w:ascii="Segoe UI Light" w:eastAsiaTheme="majorEastAsia" w:hAnsi="Segoe UI Light" w:cs="Segoe UI Light"/>
            <w:i/>
          </w:rPr>
          <w:t>Good practice for good jobs in early childhood education and care</w:t>
        </w:r>
      </w:hyperlink>
      <w:r w:rsidRPr="000854E0">
        <w:rPr>
          <w:rFonts w:ascii="Segoe UI Light" w:hAnsi="Segoe UI Light" w:cs="Segoe UI Light"/>
          <w:i/>
        </w:rPr>
        <w:t xml:space="preserve">, </w:t>
      </w:r>
      <w:r w:rsidRPr="000854E0">
        <w:rPr>
          <w:rFonts w:ascii="Segoe UI Light" w:hAnsi="Segoe UI Light" w:cs="Segoe UI Light"/>
        </w:rPr>
        <w:t>OECD Publishing, Paris, p 28.</w:t>
      </w:r>
    </w:p>
  </w:footnote>
  <w:footnote w:id="25">
    <w:p w14:paraId="0FE299DA" w14:textId="77777777" w:rsidR="000810FD" w:rsidRPr="000854E0" w:rsidRDefault="000810FD" w:rsidP="006E505D">
      <w:pPr>
        <w:pStyle w:val="FootnoteText"/>
        <w:rPr>
          <w:rFonts w:ascii="Segoe UI Light" w:hAnsi="Segoe UI Light" w:cs="Segoe UI Light"/>
        </w:rPr>
      </w:pPr>
      <w:r w:rsidRPr="000854E0">
        <w:rPr>
          <w:rStyle w:val="FootnoteReference"/>
          <w:rFonts w:ascii="Segoe UI Light" w:eastAsiaTheme="majorEastAsia" w:hAnsi="Segoe UI Light" w:cs="Segoe UI Light"/>
        </w:rPr>
        <w:footnoteRef/>
      </w:r>
      <w:r w:rsidRPr="000854E0">
        <w:rPr>
          <w:rFonts w:ascii="Segoe UI Light" w:hAnsi="Segoe UI Light" w:cs="Segoe UI Light"/>
        </w:rPr>
        <w:t xml:space="preserve"> Safe Work Australia (2022) </w:t>
      </w:r>
      <w:hyperlink r:id="rId20" w:history="1">
        <w:r w:rsidRPr="000854E0">
          <w:rPr>
            <w:rStyle w:val="Hyperlink"/>
            <w:rFonts w:ascii="Segoe UI Light" w:eastAsiaTheme="majorEastAsia" w:hAnsi="Segoe UI Light" w:cs="Segoe UI Light"/>
            <w:i/>
          </w:rPr>
          <w:t>Workplace sexual harassment statistics</w:t>
        </w:r>
      </w:hyperlink>
      <w:r w:rsidRPr="000854E0">
        <w:rPr>
          <w:rStyle w:val="Hyperlink"/>
          <w:rFonts w:ascii="Segoe UI Light" w:eastAsiaTheme="majorEastAsia" w:hAnsi="Segoe UI Light" w:cs="Segoe UI Light"/>
          <w:i/>
        </w:rPr>
        <w:t>,</w:t>
      </w:r>
      <w:r w:rsidRPr="000854E0">
        <w:rPr>
          <w:rStyle w:val="Hyperlink"/>
          <w:rFonts w:ascii="Segoe UI Light" w:eastAsiaTheme="majorEastAsia" w:hAnsi="Segoe UI Light" w:cs="Segoe UI Light"/>
        </w:rPr>
        <w:t xml:space="preserve"> </w:t>
      </w:r>
      <w:r w:rsidRPr="000854E0">
        <w:rPr>
          <w:rFonts w:ascii="Segoe UI Light" w:hAnsi="Segoe UI Light" w:cs="Segoe UI Light"/>
        </w:rPr>
        <w:t>31 January 2022.</w:t>
      </w:r>
    </w:p>
  </w:footnote>
  <w:footnote w:id="26">
    <w:p w14:paraId="43928F62" w14:textId="36441D1F" w:rsidR="000810FD" w:rsidRPr="000854E0" w:rsidRDefault="000810FD">
      <w:pPr>
        <w:pStyle w:val="FootnoteText"/>
        <w:rPr>
          <w:rFonts w:ascii="Segoe UI Light" w:hAnsi="Segoe UI Light" w:cs="Segoe UI Light"/>
        </w:rPr>
      </w:pPr>
      <w:r w:rsidRPr="000854E0">
        <w:rPr>
          <w:rStyle w:val="FootnoteReference"/>
          <w:rFonts w:ascii="Segoe UI Light" w:hAnsi="Segoe UI Light" w:cs="Segoe UI Light"/>
        </w:rPr>
        <w:footnoteRef/>
      </w:r>
      <w:r w:rsidRPr="000854E0">
        <w:rPr>
          <w:rFonts w:ascii="Segoe UI Light" w:hAnsi="Segoe UI Light" w:cs="Segoe UI Light"/>
        </w:rPr>
        <w:t xml:space="preserve"> WGEA (</w:t>
      </w:r>
      <w:proofErr w:type="spellStart"/>
      <w:r w:rsidRPr="000854E0">
        <w:rPr>
          <w:rFonts w:ascii="Segoe UI Light" w:hAnsi="Segoe UI Light" w:cs="Segoe UI Light"/>
        </w:rPr>
        <w:t>n.d.</w:t>
      </w:r>
      <w:proofErr w:type="spellEnd"/>
      <w:r w:rsidRPr="000854E0">
        <w:rPr>
          <w:rFonts w:ascii="Segoe UI Light" w:hAnsi="Segoe UI Light" w:cs="Segoe UI Light"/>
        </w:rPr>
        <w:t xml:space="preserve">) </w:t>
      </w:r>
      <w:hyperlink r:id="rId21" w:history="1">
        <w:r w:rsidRPr="000854E0">
          <w:rPr>
            <w:rStyle w:val="Hyperlink"/>
            <w:rFonts w:ascii="Segoe UI Light" w:hAnsi="Segoe UI Light" w:cs="Segoe UI Light"/>
            <w:i/>
          </w:rPr>
          <w:t>Gender equality and intersecting forms of diversity</w:t>
        </w:r>
      </w:hyperlink>
      <w:r w:rsidRPr="000854E0">
        <w:rPr>
          <w:rFonts w:ascii="Segoe UI Light" w:hAnsi="Segoe UI Light" w:cs="Segoe UI Ligh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ACCC" w14:textId="3B68A733" w:rsidR="000810FD" w:rsidRPr="00D10635" w:rsidRDefault="000810FD" w:rsidP="002160A7">
    <w:pPr>
      <w:jc w:val="center"/>
    </w:pPr>
    <w:r w:rsidRPr="002160A7">
      <w:rPr>
        <w:rStyle w:val="CLASSIFICATIONChar"/>
        <w:noProof/>
        <w:lang w:eastAsia="en-AU"/>
      </w:rPr>
      <mc:AlternateContent>
        <mc:Choice Requires="wps">
          <w:drawing>
            <wp:anchor distT="0" distB="0" distL="114300" distR="114300" simplePos="0" relativeHeight="251658241" behindDoc="1" locked="0" layoutInCell="1" allowOverlap="1" wp14:anchorId="701DB530" wp14:editId="3EBCEEBE">
              <wp:simplePos x="0" y="0"/>
              <wp:positionH relativeFrom="column">
                <wp:posOffset>6221730</wp:posOffset>
              </wp:positionH>
              <wp:positionV relativeFrom="page">
                <wp:posOffset>691515</wp:posOffset>
              </wp:positionV>
              <wp:extent cx="60840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6BCDD3" id="Straight Connector 3" o:spid="_x0000_s1026" style="position:absolute;z-index:-25165823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utQEAALYDAAAOAAAAZHJzL2Uyb0RvYy54bWysU8Fu2zAMvQ/YPwi6L3baoS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vJYiKM8jesik&#10;7G7MYoMhcAORxHXp0xRTx/BN2NLZS3FLRfTBkC9fliMOtbfHubdwyELz5U17+77lCejLU/PEi5Ty&#10;R0AvyqGXzoaiWnVq/yllzsXQC4SdUscpcz3lo4MCduErGFbCuZaVXXcINo7EXvH0hx/LooJjVWSh&#10;GOvcTGr/TTpjCw3qXv0vcUbXjBjyTPQ2IP0taz5cSjUn/EX1SWuR/YjDsc6htoOXoyo7L3LZvt/9&#10;Sn/63da/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6qLa6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5B1E" w14:textId="77777777" w:rsidR="000810FD" w:rsidRDefault="000810FD" w:rsidP="00303C55">
    <w:pPr>
      <w:pStyle w:val="Header"/>
      <w:jc w:val="center"/>
      <w:rPr>
        <w:rStyle w:val="CLASSIFICATIONChar"/>
      </w:rPr>
    </w:pPr>
    <w:r>
      <w:rPr>
        <w:rFonts w:ascii="Segoe UI" w:hAnsi="Segoe UI"/>
        <w:caps/>
        <w:noProof/>
        <w:color w:val="C00000"/>
        <w:sz w:val="18"/>
        <w:lang w:eastAsia="en-AU"/>
      </w:rPr>
      <w:drawing>
        <wp:anchor distT="0" distB="0" distL="114300" distR="114300" simplePos="0" relativeHeight="251658240" behindDoc="1" locked="0" layoutInCell="1" allowOverlap="1" wp14:anchorId="711FD60C" wp14:editId="6D638131">
          <wp:simplePos x="0" y="0"/>
          <wp:positionH relativeFrom="column">
            <wp:posOffset>4751640</wp:posOffset>
          </wp:positionH>
          <wp:positionV relativeFrom="paragraph">
            <wp:posOffset>-493639</wp:posOffset>
          </wp:positionV>
          <wp:extent cx="1473795" cy="1789544"/>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795" cy="1789544"/>
                  </a:xfrm>
                  <a:prstGeom prst="rect">
                    <a:avLst/>
                  </a:prstGeom>
                </pic:spPr>
              </pic:pic>
            </a:graphicData>
          </a:graphic>
          <wp14:sizeRelH relativeFrom="margin">
            <wp14:pctWidth>0</wp14:pctWidth>
          </wp14:sizeRelH>
          <wp14:sizeRelV relativeFrom="margin">
            <wp14:pctHeight>0</wp14:pctHeight>
          </wp14:sizeRelV>
        </wp:anchor>
      </w:drawing>
    </w:r>
    <w:r w:rsidRPr="002160A7">
      <w:rPr>
        <w:noProof/>
        <w:lang w:eastAsia="en-AU"/>
      </w:rPr>
      <mc:AlternateContent>
        <mc:Choice Requires="wps">
          <w:drawing>
            <wp:anchor distT="0" distB="0" distL="114300" distR="114300" simplePos="0" relativeHeight="251658243" behindDoc="1" locked="0" layoutInCell="1" allowOverlap="1" wp14:anchorId="1D60384D" wp14:editId="0F5CB36C">
              <wp:simplePos x="0" y="0"/>
              <wp:positionH relativeFrom="column">
                <wp:posOffset>6221730</wp:posOffset>
              </wp:positionH>
              <wp:positionV relativeFrom="page">
                <wp:posOffset>691515</wp:posOffset>
              </wp:positionV>
              <wp:extent cx="608400" cy="0"/>
              <wp:effectExtent l="0" t="0" r="20320" b="19050"/>
              <wp:wrapNone/>
              <wp:docPr id="192" name="Straight Connector 192"/>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E609FA" id="Straight Connector 192" o:spid="_x0000_s1026" style="position:absolute;z-index:-25165823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CtgEAALoDAAAOAAAAZHJzL2Uyb0RvYy54bWysU8GOEzEMvSPxD1HudKYVWi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" strokecolor="black [3200]" strokeweight=".5pt">
              <v:stroke joinstyle="miter"/>
              <w10:wrap anchory="page"/>
            </v:line>
          </w:pict>
        </mc:Fallback>
      </mc:AlternateContent>
    </w:r>
    <w:r w:rsidRPr="002160A7">
      <w:rPr>
        <w:noProof/>
        <w:lang w:eastAsia="en-AU"/>
      </w:rPr>
      <w:drawing>
        <wp:anchor distT="0" distB="0" distL="114300" distR="114300" simplePos="0" relativeHeight="251658242" behindDoc="1" locked="0" layoutInCell="1" allowOverlap="1" wp14:anchorId="725BFAB7" wp14:editId="4DAE3F6E">
          <wp:simplePos x="0" y="0"/>
          <wp:positionH relativeFrom="column">
            <wp:posOffset>-313055</wp:posOffset>
          </wp:positionH>
          <wp:positionV relativeFrom="page">
            <wp:posOffset>183515</wp:posOffset>
          </wp:positionV>
          <wp:extent cx="3600000" cy="806400"/>
          <wp:effectExtent l="0" t="0" r="0" b="0"/>
          <wp:wrapNone/>
          <wp:docPr id="11" name="Picture 11"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724E43" w14:textId="77777777" w:rsidR="000810FD" w:rsidRDefault="000810FD" w:rsidP="00303C55">
    <w:pPr>
      <w:pStyle w:val="Header"/>
      <w:jc w:val="center"/>
      <w:rPr>
        <w:rStyle w:val="CLASSIFICATIONChar"/>
      </w:rPr>
    </w:pPr>
  </w:p>
  <w:p w14:paraId="72313B4D" w14:textId="77777777" w:rsidR="000810FD" w:rsidRDefault="000810FD" w:rsidP="00303C55">
    <w:pPr>
      <w:pStyle w:val="Header"/>
      <w:jc w:val="center"/>
      <w:rPr>
        <w:rStyle w:val="CLASSIFICATIONChar"/>
      </w:rPr>
    </w:pPr>
  </w:p>
  <w:p w14:paraId="65BCE671" w14:textId="77777777" w:rsidR="000810FD" w:rsidRDefault="000810FD" w:rsidP="00303C55">
    <w:pPr>
      <w:pStyle w:val="Header"/>
      <w:jc w:val="center"/>
      <w:rPr>
        <w:rStyle w:val="CLASSIFICATIONChar"/>
      </w:rPr>
    </w:pPr>
  </w:p>
  <w:p w14:paraId="1AE1656E" w14:textId="7B838C41" w:rsidR="000810FD" w:rsidRDefault="000810FD" w:rsidP="002160A7">
    <w:pPr>
      <w:pStyle w:val="CLASSIFICATION"/>
    </w:pPr>
  </w:p>
  <w:p w14:paraId="53FCE169" w14:textId="77777777" w:rsidR="000810FD" w:rsidRPr="002160A7" w:rsidRDefault="000810FD" w:rsidP="002160A7">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F1F43"/>
    <w:multiLevelType w:val="hybridMultilevel"/>
    <w:tmpl w:val="F1A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F83A1B"/>
    <w:multiLevelType w:val="hybridMultilevel"/>
    <w:tmpl w:val="9E64D8DA"/>
    <w:lvl w:ilvl="0" w:tplc="C7E0677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6C6B3B"/>
    <w:multiLevelType w:val="hybridMultilevel"/>
    <w:tmpl w:val="11E27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7" w15:restartNumberingAfterBreak="0">
    <w:nsid w:val="15C42351"/>
    <w:multiLevelType w:val="hybridMultilevel"/>
    <w:tmpl w:val="055A88C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19F33BBA"/>
    <w:multiLevelType w:val="hybridMultilevel"/>
    <w:tmpl w:val="C6B214D4"/>
    <w:lvl w:ilvl="0" w:tplc="8460E7C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C94AC2"/>
    <w:multiLevelType w:val="hybridMultilevel"/>
    <w:tmpl w:val="4AF274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507AC4"/>
    <w:multiLevelType w:val="hybridMultilevel"/>
    <w:tmpl w:val="92BA7588"/>
    <w:lvl w:ilvl="0" w:tplc="0C090003">
      <w:start w:val="1"/>
      <w:numFmt w:val="bullet"/>
      <w:pStyle w:val="BulletedList-Level2"/>
      <w:lvlText w:val="o"/>
      <w:lvlJc w:val="left"/>
      <w:pPr>
        <w:ind w:left="851" w:hanging="284"/>
      </w:pPr>
      <w:rPr>
        <w:rFonts w:ascii="Courier New" w:hAnsi="Courier New" w:cs="Courier New"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7854A54"/>
    <w:multiLevelType w:val="hybridMultilevel"/>
    <w:tmpl w:val="94DC3E6A"/>
    <w:lvl w:ilvl="0" w:tplc="177076E2">
      <w:start w:val="1"/>
      <w:numFmt w:val="bullet"/>
      <w:pStyle w:val="BulletedList-Level1"/>
      <w:lvlText w:val=""/>
      <w:lvlJc w:val="left"/>
      <w:pPr>
        <w:ind w:left="3118"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2" w15:restartNumberingAfterBreak="0">
    <w:nsid w:val="351945D2"/>
    <w:multiLevelType w:val="hybridMultilevel"/>
    <w:tmpl w:val="B8BC8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A04939"/>
    <w:multiLevelType w:val="hybridMultilevel"/>
    <w:tmpl w:val="881C2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B22B27"/>
    <w:multiLevelType w:val="hybridMultilevel"/>
    <w:tmpl w:val="6260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6"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A617A4"/>
    <w:multiLevelType w:val="hybridMultilevel"/>
    <w:tmpl w:val="617067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3C7E9D"/>
    <w:multiLevelType w:val="hybridMultilevel"/>
    <w:tmpl w:val="CC10FCDC"/>
    <w:lvl w:ilvl="0" w:tplc="72DE269E">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C951F7"/>
    <w:multiLevelType w:val="hybridMultilevel"/>
    <w:tmpl w:val="8BDE5C5C"/>
    <w:lvl w:ilvl="0" w:tplc="0C090005">
      <w:start w:val="1"/>
      <w:numFmt w:val="bullet"/>
      <w:lvlText w:val=""/>
      <w:lvlJc w:val="left"/>
      <w:pPr>
        <w:ind w:left="1288" w:hanging="360"/>
      </w:pPr>
      <w:rPr>
        <w:rFonts w:ascii="Wingdings" w:hAnsi="Wingdings"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1"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43051D"/>
    <w:multiLevelType w:val="hybridMultilevel"/>
    <w:tmpl w:val="AB6271D4"/>
    <w:lvl w:ilvl="0" w:tplc="6898F88C">
      <w:numFmt w:val="bullet"/>
      <w:lvlText w:val="–"/>
      <w:lvlJc w:val="left"/>
      <w:pPr>
        <w:ind w:left="927" w:hanging="360"/>
      </w:pPr>
      <w:rPr>
        <w:rFonts w:ascii="Segoe UI Light" w:eastAsiaTheme="minorEastAsia" w:hAnsi="Segoe UI Light" w:cs="Segoe UI Light"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F94B87"/>
    <w:multiLevelType w:val="hybridMultilevel"/>
    <w:tmpl w:val="9692ED86"/>
    <w:lvl w:ilvl="0" w:tplc="A98C157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31"/>
  </w:num>
  <w:num w:numId="14">
    <w:abstractNumId w:val="21"/>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26"/>
  </w:num>
  <w:num w:numId="20">
    <w:abstractNumId w:val="26"/>
    <w:lvlOverride w:ilvl="0">
      <w:startOverride w:val="1"/>
    </w:lvlOverride>
  </w:num>
  <w:num w:numId="21">
    <w:abstractNumId w:val="33"/>
  </w:num>
  <w:num w:numId="22">
    <w:abstractNumId w:val="28"/>
  </w:num>
  <w:num w:numId="23">
    <w:abstractNumId w:val="13"/>
    <w:lvlOverride w:ilvl="0">
      <w:startOverride w:val="1"/>
    </w:lvlOverride>
  </w:num>
  <w:num w:numId="24">
    <w:abstractNumId w:val="33"/>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18"/>
  </w:num>
  <w:num w:numId="28">
    <w:abstractNumId w:val="25"/>
  </w:num>
  <w:num w:numId="29">
    <w:abstractNumId w:val="16"/>
  </w:num>
  <w:num w:numId="30">
    <w:abstractNumId w:val="20"/>
  </w:num>
  <w:num w:numId="31">
    <w:abstractNumId w:val="15"/>
  </w:num>
  <w:num w:numId="32">
    <w:abstractNumId w:val="33"/>
    <w:lvlOverride w:ilvl="0">
      <w:startOverride w:val="1"/>
    </w:lvlOverride>
  </w:num>
  <w:num w:numId="33">
    <w:abstractNumId w:val="33"/>
    <w:lvlOverride w:ilvl="0">
      <w:startOverride w:val="1"/>
    </w:lvlOverride>
  </w:num>
  <w:num w:numId="34">
    <w:abstractNumId w:val="33"/>
    <w:lvlOverride w:ilvl="0">
      <w:startOverride w:val="1"/>
    </w:lvlOverride>
  </w:num>
  <w:num w:numId="35">
    <w:abstractNumId w:val="29"/>
  </w:num>
  <w:num w:numId="36">
    <w:abstractNumId w:val="24"/>
  </w:num>
  <w:num w:numId="37">
    <w:abstractNumId w:val="10"/>
  </w:num>
  <w:num w:numId="38">
    <w:abstractNumId w:val="27"/>
  </w:num>
  <w:num w:numId="39">
    <w:abstractNumId w:val="11"/>
  </w:num>
  <w:num w:numId="40">
    <w:abstractNumId w:val="23"/>
  </w:num>
  <w:num w:numId="41">
    <w:abstractNumId w:val="19"/>
  </w:num>
  <w:num w:numId="42">
    <w:abstractNumId w:val="14"/>
  </w:num>
  <w:num w:numId="43">
    <w:abstractNumId w:val="30"/>
  </w:num>
  <w:num w:numId="44">
    <w:abstractNumId w:val="17"/>
  </w:num>
  <w:num w:numId="45">
    <w:abstractNumId w:val="22"/>
  </w:num>
  <w:num w:numId="46">
    <w:abstractNumId w:val="3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D8"/>
    <w:rsid w:val="00011B38"/>
    <w:rsid w:val="00027038"/>
    <w:rsid w:val="0003154E"/>
    <w:rsid w:val="0003259B"/>
    <w:rsid w:val="00033C61"/>
    <w:rsid w:val="00037513"/>
    <w:rsid w:val="00043A61"/>
    <w:rsid w:val="00060346"/>
    <w:rsid w:val="00062543"/>
    <w:rsid w:val="00063F8C"/>
    <w:rsid w:val="0006627F"/>
    <w:rsid w:val="000810FD"/>
    <w:rsid w:val="000854E0"/>
    <w:rsid w:val="000B3417"/>
    <w:rsid w:val="000B55CF"/>
    <w:rsid w:val="000C2687"/>
    <w:rsid w:val="000D0A42"/>
    <w:rsid w:val="000D3679"/>
    <w:rsid w:val="000D749D"/>
    <w:rsid w:val="000E009D"/>
    <w:rsid w:val="000E57E6"/>
    <w:rsid w:val="000F1707"/>
    <w:rsid w:val="000F7744"/>
    <w:rsid w:val="001053CF"/>
    <w:rsid w:val="00117A77"/>
    <w:rsid w:val="00124D64"/>
    <w:rsid w:val="00153217"/>
    <w:rsid w:val="00156D0D"/>
    <w:rsid w:val="001578AC"/>
    <w:rsid w:val="00160DE6"/>
    <w:rsid w:val="00173EB7"/>
    <w:rsid w:val="00175F85"/>
    <w:rsid w:val="001766B8"/>
    <w:rsid w:val="001776A6"/>
    <w:rsid w:val="00177C90"/>
    <w:rsid w:val="001943FC"/>
    <w:rsid w:val="001953BA"/>
    <w:rsid w:val="001C2BFB"/>
    <w:rsid w:val="001C6CD0"/>
    <w:rsid w:val="001E222F"/>
    <w:rsid w:val="001E3136"/>
    <w:rsid w:val="00211812"/>
    <w:rsid w:val="00213F64"/>
    <w:rsid w:val="002160A7"/>
    <w:rsid w:val="002203DA"/>
    <w:rsid w:val="00220DDA"/>
    <w:rsid w:val="00227DB5"/>
    <w:rsid w:val="00232702"/>
    <w:rsid w:val="00233E77"/>
    <w:rsid w:val="00253D52"/>
    <w:rsid w:val="00266CCC"/>
    <w:rsid w:val="002738BF"/>
    <w:rsid w:val="00274D42"/>
    <w:rsid w:val="002807B4"/>
    <w:rsid w:val="00285CAF"/>
    <w:rsid w:val="002A6E9E"/>
    <w:rsid w:val="002B661A"/>
    <w:rsid w:val="002C7A05"/>
    <w:rsid w:val="002D2685"/>
    <w:rsid w:val="002D3BA6"/>
    <w:rsid w:val="002D6B3D"/>
    <w:rsid w:val="00303C55"/>
    <w:rsid w:val="00311C2D"/>
    <w:rsid w:val="0032426A"/>
    <w:rsid w:val="003500FD"/>
    <w:rsid w:val="00353E5E"/>
    <w:rsid w:val="0036791D"/>
    <w:rsid w:val="00371430"/>
    <w:rsid w:val="00374D2A"/>
    <w:rsid w:val="00385BD5"/>
    <w:rsid w:val="003979AD"/>
    <w:rsid w:val="003A3B82"/>
    <w:rsid w:val="003A6B35"/>
    <w:rsid w:val="003B5513"/>
    <w:rsid w:val="003C7AAD"/>
    <w:rsid w:val="003D676D"/>
    <w:rsid w:val="003E0CAF"/>
    <w:rsid w:val="003E3721"/>
    <w:rsid w:val="003F23E9"/>
    <w:rsid w:val="004009A3"/>
    <w:rsid w:val="004017C5"/>
    <w:rsid w:val="004067B5"/>
    <w:rsid w:val="00413ABE"/>
    <w:rsid w:val="00414533"/>
    <w:rsid w:val="00430B29"/>
    <w:rsid w:val="004338D5"/>
    <w:rsid w:val="0047058F"/>
    <w:rsid w:val="004808A4"/>
    <w:rsid w:val="0049357C"/>
    <w:rsid w:val="004B2C90"/>
    <w:rsid w:val="004B7303"/>
    <w:rsid w:val="004C1C27"/>
    <w:rsid w:val="004C4C44"/>
    <w:rsid w:val="004C53A8"/>
    <w:rsid w:val="004C6039"/>
    <w:rsid w:val="004F4C4F"/>
    <w:rsid w:val="004F4FB7"/>
    <w:rsid w:val="00507A6F"/>
    <w:rsid w:val="0051003A"/>
    <w:rsid w:val="005226B9"/>
    <w:rsid w:val="00531F9C"/>
    <w:rsid w:val="0055512F"/>
    <w:rsid w:val="00560B58"/>
    <w:rsid w:val="00581ACB"/>
    <w:rsid w:val="00583AAC"/>
    <w:rsid w:val="00591288"/>
    <w:rsid w:val="005917FD"/>
    <w:rsid w:val="005A4AA1"/>
    <w:rsid w:val="005A665B"/>
    <w:rsid w:val="005B0285"/>
    <w:rsid w:val="005B5E57"/>
    <w:rsid w:val="005C7F8A"/>
    <w:rsid w:val="005D4706"/>
    <w:rsid w:val="005F15CB"/>
    <w:rsid w:val="0062085F"/>
    <w:rsid w:val="00621EA3"/>
    <w:rsid w:val="006311CE"/>
    <w:rsid w:val="00640147"/>
    <w:rsid w:val="0064343A"/>
    <w:rsid w:val="00657F80"/>
    <w:rsid w:val="00677540"/>
    <w:rsid w:val="006820CB"/>
    <w:rsid w:val="00697260"/>
    <w:rsid w:val="006A008F"/>
    <w:rsid w:val="006A09BD"/>
    <w:rsid w:val="006A5AA6"/>
    <w:rsid w:val="006B0AB1"/>
    <w:rsid w:val="006C1EC7"/>
    <w:rsid w:val="006E170D"/>
    <w:rsid w:val="006E38AB"/>
    <w:rsid w:val="006E505D"/>
    <w:rsid w:val="006F2F20"/>
    <w:rsid w:val="006F5E8D"/>
    <w:rsid w:val="00700BB4"/>
    <w:rsid w:val="00706443"/>
    <w:rsid w:val="007204A9"/>
    <w:rsid w:val="007564FA"/>
    <w:rsid w:val="00756929"/>
    <w:rsid w:val="007579AA"/>
    <w:rsid w:val="00774646"/>
    <w:rsid w:val="00781695"/>
    <w:rsid w:val="0079467B"/>
    <w:rsid w:val="00795086"/>
    <w:rsid w:val="007A47EA"/>
    <w:rsid w:val="007B1A0C"/>
    <w:rsid w:val="007C0935"/>
    <w:rsid w:val="007D6C86"/>
    <w:rsid w:val="007D745D"/>
    <w:rsid w:val="007E1200"/>
    <w:rsid w:val="008046D4"/>
    <w:rsid w:val="008137B2"/>
    <w:rsid w:val="00833792"/>
    <w:rsid w:val="008368FA"/>
    <w:rsid w:val="0085358C"/>
    <w:rsid w:val="00862D87"/>
    <w:rsid w:val="008732E8"/>
    <w:rsid w:val="00892F1D"/>
    <w:rsid w:val="00894166"/>
    <w:rsid w:val="008A0614"/>
    <w:rsid w:val="008A0847"/>
    <w:rsid w:val="008A3488"/>
    <w:rsid w:val="008A6674"/>
    <w:rsid w:val="008C47A1"/>
    <w:rsid w:val="008C4B32"/>
    <w:rsid w:val="008C58D5"/>
    <w:rsid w:val="008C6154"/>
    <w:rsid w:val="008D3B77"/>
    <w:rsid w:val="008D648D"/>
    <w:rsid w:val="008D6B9E"/>
    <w:rsid w:val="008D6C90"/>
    <w:rsid w:val="008E1024"/>
    <w:rsid w:val="008E6611"/>
    <w:rsid w:val="00912580"/>
    <w:rsid w:val="00913274"/>
    <w:rsid w:val="00913ED0"/>
    <w:rsid w:val="009253D8"/>
    <w:rsid w:val="009259C7"/>
    <w:rsid w:val="00927650"/>
    <w:rsid w:val="009372CE"/>
    <w:rsid w:val="00942CB6"/>
    <w:rsid w:val="00942CE9"/>
    <w:rsid w:val="00950207"/>
    <w:rsid w:val="009514DD"/>
    <w:rsid w:val="00954FF2"/>
    <w:rsid w:val="00962EE8"/>
    <w:rsid w:val="00976EE9"/>
    <w:rsid w:val="0098332A"/>
    <w:rsid w:val="00984271"/>
    <w:rsid w:val="009A6D9C"/>
    <w:rsid w:val="009C2119"/>
    <w:rsid w:val="009C60F6"/>
    <w:rsid w:val="009E067E"/>
    <w:rsid w:val="009E1F62"/>
    <w:rsid w:val="009F0889"/>
    <w:rsid w:val="00A01596"/>
    <w:rsid w:val="00A12C83"/>
    <w:rsid w:val="00A30A0D"/>
    <w:rsid w:val="00A325F3"/>
    <w:rsid w:val="00A3680E"/>
    <w:rsid w:val="00A36B26"/>
    <w:rsid w:val="00A46868"/>
    <w:rsid w:val="00A53186"/>
    <w:rsid w:val="00A67642"/>
    <w:rsid w:val="00AA705F"/>
    <w:rsid w:val="00AE32AE"/>
    <w:rsid w:val="00AE67EF"/>
    <w:rsid w:val="00AE7D35"/>
    <w:rsid w:val="00B01FB1"/>
    <w:rsid w:val="00B15D1E"/>
    <w:rsid w:val="00B201AB"/>
    <w:rsid w:val="00B25DF8"/>
    <w:rsid w:val="00B42E72"/>
    <w:rsid w:val="00B53A05"/>
    <w:rsid w:val="00B57096"/>
    <w:rsid w:val="00B6596F"/>
    <w:rsid w:val="00B901DC"/>
    <w:rsid w:val="00BD32F6"/>
    <w:rsid w:val="00BD57F5"/>
    <w:rsid w:val="00BE010D"/>
    <w:rsid w:val="00BE48A4"/>
    <w:rsid w:val="00BE56F0"/>
    <w:rsid w:val="00C153F7"/>
    <w:rsid w:val="00C15E2E"/>
    <w:rsid w:val="00C32A63"/>
    <w:rsid w:val="00C34452"/>
    <w:rsid w:val="00C52E60"/>
    <w:rsid w:val="00C71A04"/>
    <w:rsid w:val="00C8474E"/>
    <w:rsid w:val="00C8666B"/>
    <w:rsid w:val="00C86CA6"/>
    <w:rsid w:val="00C8771A"/>
    <w:rsid w:val="00C9672D"/>
    <w:rsid w:val="00CA30E2"/>
    <w:rsid w:val="00CA6A1B"/>
    <w:rsid w:val="00CB7BF1"/>
    <w:rsid w:val="00CC2890"/>
    <w:rsid w:val="00CD5A4E"/>
    <w:rsid w:val="00CE20F1"/>
    <w:rsid w:val="00D03799"/>
    <w:rsid w:val="00D10635"/>
    <w:rsid w:val="00D1151E"/>
    <w:rsid w:val="00D2259A"/>
    <w:rsid w:val="00D2559D"/>
    <w:rsid w:val="00D26B35"/>
    <w:rsid w:val="00D26C0F"/>
    <w:rsid w:val="00D43203"/>
    <w:rsid w:val="00D44E5B"/>
    <w:rsid w:val="00D525B8"/>
    <w:rsid w:val="00D5360D"/>
    <w:rsid w:val="00DA5EAD"/>
    <w:rsid w:val="00DA63D9"/>
    <w:rsid w:val="00DB1BDB"/>
    <w:rsid w:val="00DD085A"/>
    <w:rsid w:val="00DD3095"/>
    <w:rsid w:val="00DD449F"/>
    <w:rsid w:val="00DF1B60"/>
    <w:rsid w:val="00DF2F8D"/>
    <w:rsid w:val="00E0210B"/>
    <w:rsid w:val="00E16C65"/>
    <w:rsid w:val="00E224F4"/>
    <w:rsid w:val="00E2753F"/>
    <w:rsid w:val="00E34BAC"/>
    <w:rsid w:val="00E50E82"/>
    <w:rsid w:val="00E7489D"/>
    <w:rsid w:val="00E84F06"/>
    <w:rsid w:val="00E85830"/>
    <w:rsid w:val="00E85E3B"/>
    <w:rsid w:val="00E92551"/>
    <w:rsid w:val="00EA23B7"/>
    <w:rsid w:val="00ED0697"/>
    <w:rsid w:val="00EF423A"/>
    <w:rsid w:val="00F066F7"/>
    <w:rsid w:val="00F1116B"/>
    <w:rsid w:val="00F137CA"/>
    <w:rsid w:val="00F20A08"/>
    <w:rsid w:val="00F24206"/>
    <w:rsid w:val="00F266DA"/>
    <w:rsid w:val="00F33ECE"/>
    <w:rsid w:val="00F41114"/>
    <w:rsid w:val="00F451C4"/>
    <w:rsid w:val="00F62D1C"/>
    <w:rsid w:val="00F63A46"/>
    <w:rsid w:val="00F80BA5"/>
    <w:rsid w:val="00F811E9"/>
    <w:rsid w:val="00F957C6"/>
    <w:rsid w:val="00FA043D"/>
    <w:rsid w:val="00FB075C"/>
    <w:rsid w:val="00FB4822"/>
    <w:rsid w:val="00FB52D8"/>
    <w:rsid w:val="00FD2C22"/>
    <w:rsid w:val="00FD2D90"/>
    <w:rsid w:val="00FE2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23011"/>
  <w14:defaultImageDpi w14:val="330"/>
  <w15:chartTrackingRefBased/>
  <w15:docId w15:val="{389DA279-0C1F-4FC5-AACA-FE49CA80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5B5E57"/>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5B5E57"/>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5B5E57"/>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5B5E57"/>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5B5E57"/>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5B5E57"/>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5B5E57"/>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5B5E57"/>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5B5E57"/>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5B5E57"/>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5B5E57"/>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5B5E57"/>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2D3BA6"/>
    <w:pPr>
      <w:numPr>
        <w:ilvl w:val="1"/>
      </w:numPr>
      <w:spacing w:after="48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2D3BA6"/>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B5E57"/>
    <w:rPr>
      <w:i/>
      <w:iCs/>
      <w:color w:val="auto"/>
    </w:rPr>
  </w:style>
  <w:style w:type="paragraph" w:styleId="Quote">
    <w:name w:val="Quote"/>
    <w:basedOn w:val="Normal"/>
    <w:next w:val="Normal"/>
    <w:link w:val="QuoteChar"/>
    <w:uiPriority w:val="16"/>
    <w:qFormat/>
    <w:rsid w:val="005B5E57"/>
    <w:pPr>
      <w:spacing w:before="240"/>
      <w:ind w:left="720" w:right="720"/>
    </w:pPr>
    <w:rPr>
      <w:i/>
      <w:iCs/>
      <w:noProof/>
      <w:color w:val="3266AB"/>
    </w:rPr>
  </w:style>
  <w:style w:type="character" w:customStyle="1" w:styleId="QuoteChar">
    <w:name w:val="Quote Char"/>
    <w:basedOn w:val="DefaultParagraphFont"/>
    <w:link w:val="Quote"/>
    <w:uiPriority w:val="16"/>
    <w:rsid w:val="005B5E57"/>
    <w:rPr>
      <w:i/>
      <w:iCs/>
      <w:noProof/>
      <w:color w:val="3266AB"/>
      <w:sz w:val="22"/>
    </w:rPr>
  </w:style>
  <w:style w:type="paragraph" w:styleId="IntenseQuote">
    <w:name w:val="Intense Quote"/>
    <w:basedOn w:val="Normal"/>
    <w:next w:val="Normal"/>
    <w:link w:val="IntenseQuoteChar"/>
    <w:uiPriority w:val="17"/>
    <w:qFormat/>
    <w:rsid w:val="005B5E57"/>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5B5E57"/>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5B5E57"/>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160A7"/>
    <w:pPr>
      <w:jc w:val="center"/>
    </w:pPr>
    <w:rPr>
      <w:rFonts w:ascii="Segoe UI" w:hAnsi="Segoe UI"/>
      <w:caps/>
      <w:color w:val="C00000"/>
      <w:sz w:val="18"/>
    </w:rPr>
  </w:style>
  <w:style w:type="paragraph" w:customStyle="1" w:styleId="BOXHeading2">
    <w:name w:val="BOX Heading 2"/>
    <w:basedOn w:val="Heading2"/>
    <w:next w:val="BOXText"/>
    <w:uiPriority w:val="6"/>
    <w:qFormat/>
    <w:rsid w:val="005B5E57"/>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2160A7"/>
    <w:rPr>
      <w:rFonts w:ascii="Segoe UI" w:hAnsi="Segoe UI"/>
      <w:caps/>
      <w:color w:val="C00000"/>
      <w:sz w:val="18"/>
    </w:rPr>
  </w:style>
  <w:style w:type="paragraph" w:customStyle="1" w:styleId="BOXText">
    <w:name w:val="BOX Text"/>
    <w:basedOn w:val="Normal"/>
    <w:uiPriority w:val="4"/>
    <w:qFormat/>
    <w:rsid w:val="005B5E57"/>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5B5E57"/>
    <w:pPr>
      <w:numPr>
        <w:numId w:val="27"/>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5B5E57"/>
    <w:rPr>
      <w:color w:val="3266AB"/>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styleId="FootnoteText">
    <w:name w:val="footnote text"/>
    <w:basedOn w:val="Normal"/>
    <w:link w:val="FootnoteTextChar"/>
    <w:uiPriority w:val="99"/>
    <w:unhideWhenUsed/>
    <w:rsid w:val="00700B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00BB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00BB4"/>
    <w:rPr>
      <w:vertAlign w:val="superscript"/>
    </w:rPr>
  </w:style>
  <w:style w:type="paragraph" w:styleId="CommentText">
    <w:name w:val="annotation text"/>
    <w:basedOn w:val="Normal"/>
    <w:link w:val="CommentTextChar"/>
    <w:uiPriority w:val="99"/>
    <w:semiHidden/>
    <w:unhideWhenUsed/>
    <w:rsid w:val="00233E77"/>
    <w:pPr>
      <w:spacing w:line="240" w:lineRule="auto"/>
    </w:pPr>
    <w:rPr>
      <w:sz w:val="20"/>
      <w:szCs w:val="20"/>
    </w:rPr>
  </w:style>
  <w:style w:type="character" w:customStyle="1" w:styleId="CommentTextChar">
    <w:name w:val="Comment Text Char"/>
    <w:basedOn w:val="DefaultParagraphFont"/>
    <w:link w:val="CommentText"/>
    <w:uiPriority w:val="99"/>
    <w:semiHidden/>
    <w:rsid w:val="00233E77"/>
    <w:rPr>
      <w:sz w:val="20"/>
      <w:szCs w:val="20"/>
    </w:rPr>
  </w:style>
  <w:style w:type="character" w:styleId="CommentReference">
    <w:name w:val="annotation reference"/>
    <w:basedOn w:val="DefaultParagraphFont"/>
    <w:uiPriority w:val="99"/>
    <w:unhideWhenUsed/>
    <w:rsid w:val="00233E77"/>
    <w:rPr>
      <w:sz w:val="16"/>
      <w:szCs w:val="16"/>
    </w:rPr>
  </w:style>
  <w:style w:type="character" w:customStyle="1" w:styleId="ListParagraphChar">
    <w:name w:val="List Paragraph Char"/>
    <w:aliases w:val="List Square Char,List Paragraph1 Char,List Paragraph11 Char,List Paragraph2 Char,Bulit List -  Paragraph Char,Main numbered paragraph Char,Numbered List Paragraph Char,Recommendation Char,Bullets Char,Table Heading Char,Dot pt Char"/>
    <w:basedOn w:val="DefaultParagraphFont"/>
    <w:link w:val="ListParagraph"/>
    <w:uiPriority w:val="34"/>
    <w:qFormat/>
    <w:locked/>
    <w:rsid w:val="00B15D1E"/>
    <w:rPr>
      <w:sz w:val="22"/>
    </w:rPr>
  </w:style>
  <w:style w:type="paragraph" w:styleId="CommentSubject">
    <w:name w:val="annotation subject"/>
    <w:basedOn w:val="CommentText"/>
    <w:next w:val="CommentText"/>
    <w:link w:val="CommentSubjectChar"/>
    <w:uiPriority w:val="99"/>
    <w:semiHidden/>
    <w:unhideWhenUsed/>
    <w:rsid w:val="008A0847"/>
    <w:rPr>
      <w:b/>
      <w:bCs/>
    </w:rPr>
  </w:style>
  <w:style w:type="character" w:customStyle="1" w:styleId="CommentSubjectChar">
    <w:name w:val="Comment Subject Char"/>
    <w:basedOn w:val="CommentTextChar"/>
    <w:link w:val="CommentSubject"/>
    <w:uiPriority w:val="99"/>
    <w:semiHidden/>
    <w:rsid w:val="008A0847"/>
    <w:rPr>
      <w:b/>
      <w:bCs/>
      <w:sz w:val="20"/>
      <w:szCs w:val="20"/>
    </w:rPr>
  </w:style>
  <w:style w:type="paragraph" w:styleId="Revision">
    <w:name w:val="Revision"/>
    <w:hidden/>
    <w:uiPriority w:val="99"/>
    <w:semiHidden/>
    <w:rsid w:val="00AE7D35"/>
    <w:pPr>
      <w:spacing w:after="0" w:line="240" w:lineRule="auto"/>
    </w:pPr>
    <w:rPr>
      <w:sz w:val="22"/>
    </w:rPr>
  </w:style>
  <w:style w:type="character" w:styleId="FollowedHyperlink">
    <w:name w:val="FollowedHyperlink"/>
    <w:basedOn w:val="DefaultParagraphFont"/>
    <w:uiPriority w:val="99"/>
    <w:semiHidden/>
    <w:unhideWhenUsed/>
    <w:rsid w:val="00AE7D35"/>
    <w:rPr>
      <w:color w:val="1B375C" w:themeColor="followedHyperlink"/>
      <w:u w:val="single"/>
    </w:rPr>
  </w:style>
  <w:style w:type="paragraph" w:styleId="EndnoteText">
    <w:name w:val="endnote text"/>
    <w:basedOn w:val="Normal"/>
    <w:link w:val="EndnoteTextChar"/>
    <w:uiPriority w:val="99"/>
    <w:semiHidden/>
    <w:unhideWhenUsed/>
    <w:rsid w:val="006972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7260"/>
    <w:rPr>
      <w:sz w:val="20"/>
      <w:szCs w:val="20"/>
    </w:rPr>
  </w:style>
  <w:style w:type="character" w:styleId="EndnoteReference">
    <w:name w:val="endnote reference"/>
    <w:basedOn w:val="DefaultParagraphFont"/>
    <w:uiPriority w:val="99"/>
    <w:semiHidden/>
    <w:unhideWhenUsed/>
    <w:rsid w:val="006972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554">
      <w:bodyDiv w:val="1"/>
      <w:marLeft w:val="0"/>
      <w:marRight w:val="0"/>
      <w:marTop w:val="0"/>
      <w:marBottom w:val="0"/>
      <w:divBdr>
        <w:top w:val="none" w:sz="0" w:space="0" w:color="auto"/>
        <w:left w:val="none" w:sz="0" w:space="0" w:color="auto"/>
        <w:bottom w:val="none" w:sz="0" w:space="0" w:color="auto"/>
        <w:right w:val="none" w:sz="0" w:space="0" w:color="auto"/>
      </w:divBdr>
    </w:div>
    <w:div w:id="1126630538">
      <w:bodyDiv w:val="1"/>
      <w:marLeft w:val="0"/>
      <w:marRight w:val="0"/>
      <w:marTop w:val="0"/>
      <w:marBottom w:val="0"/>
      <w:divBdr>
        <w:top w:val="none" w:sz="0" w:space="0" w:color="auto"/>
        <w:left w:val="none" w:sz="0" w:space="0" w:color="auto"/>
        <w:bottom w:val="none" w:sz="0" w:space="0" w:color="auto"/>
        <w:right w:val="none" w:sz="0" w:space="0" w:color="auto"/>
      </w:divBdr>
    </w:div>
    <w:div w:id="1507089237">
      <w:bodyDiv w:val="1"/>
      <w:marLeft w:val="0"/>
      <w:marRight w:val="0"/>
      <w:marTop w:val="0"/>
      <w:marBottom w:val="0"/>
      <w:divBdr>
        <w:top w:val="none" w:sz="0" w:space="0" w:color="auto"/>
        <w:left w:val="none" w:sz="0" w:space="0" w:color="auto"/>
        <w:bottom w:val="none" w:sz="0" w:space="0" w:color="auto"/>
        <w:right w:val="none" w:sz="0" w:space="0" w:color="auto"/>
      </w:divBdr>
    </w:div>
    <w:div w:id="1638022345">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2085909378">
      <w:bodyDiv w:val="1"/>
      <w:marLeft w:val="0"/>
      <w:marRight w:val="0"/>
      <w:marTop w:val="0"/>
      <w:marBottom w:val="0"/>
      <w:divBdr>
        <w:top w:val="none" w:sz="0" w:space="0" w:color="auto"/>
        <w:left w:val="none" w:sz="0" w:space="0" w:color="auto"/>
        <w:bottom w:val="none" w:sz="0" w:space="0" w:color="auto"/>
        <w:right w:val="none" w:sz="0" w:space="0" w:color="auto"/>
      </w:divBdr>
    </w:div>
    <w:div w:id="21358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national-womens-health-strategy-2020-203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humanrights.gov.au/our-work/sex-discrimination/publications/respectwork-sexual-harassment-national-inquiry-report-2020" TargetMode="External"/><Relationship Id="rId17" Type="http://schemas.openxmlformats.org/officeDocument/2006/relationships/hyperlink" Target="mailto:OFWengagement@pmc.gov.au" TargetMode="External"/><Relationship Id="rId2" Type="http://schemas.openxmlformats.org/officeDocument/2006/relationships/customXml" Target="../customXml/item2.xml"/><Relationship Id="rId16" Type="http://schemas.openxmlformats.org/officeDocument/2006/relationships/hyperlink" Target="https://www.pmc.gov.au/office-women/national-strategy-achieve-gender-equali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women-programs-services-reducing-violence/the-national-plan-to-end-violence-against-women-and-children-2022-203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reasury.gov.au/employment-whitepaper/jobs-summi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mc.gov.au/office-women/grants-and-funding/national-womens-allianc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statistics/labour/employment-and-unemployment/labour-force-australia/latest-release" TargetMode="External"/><Relationship Id="rId13" Type="http://schemas.openxmlformats.org/officeDocument/2006/relationships/hyperlink" Target="https://www.abs.gov.au/statistics/labour/employment-and-unemployment/labour-force-australia-detailed/sep-2022" TargetMode="External"/><Relationship Id="rId18" Type="http://schemas.openxmlformats.org/officeDocument/2006/relationships/hyperlink" Target="https://www.industry.gov.au/publications/stem-equity-monitor/primary-and-secondary-school-data/parents-perceptions-and-attitudes-stem" TargetMode="External"/><Relationship Id="rId3" Type="http://schemas.openxmlformats.org/officeDocument/2006/relationships/hyperlink" Target="https://www.qilt.edu.au/docs/default-source/default-document-library/2021-gos-national-report749de703c946469d834f212ba7eb47e0.pdf?sfvrsn=9cdba17e_0" TargetMode="External"/><Relationship Id="rId21" Type="http://schemas.openxmlformats.org/officeDocument/2006/relationships/hyperlink" Target="https://www.wgea.gov.au/gender-equality-and-diversity" TargetMode="External"/><Relationship Id="rId7" Type="http://schemas.openxmlformats.org/officeDocument/2006/relationships/hyperlink" Target="https://www.abs.gov.au/statistics/labour/employment-and-unemployment/labour-force-australia/latest-release" TargetMode="External"/><Relationship Id="rId12" Type="http://schemas.openxmlformats.org/officeDocument/2006/relationships/hyperlink" Target="https://budget.gov.au/2022-23-october/content/womens-statement/index.htm" TargetMode="External"/><Relationship Id="rId17" Type="http://schemas.openxmlformats.org/officeDocument/2006/relationships/hyperlink" Target="https://bel.uq.edu.au/files/28153/Hands_up_for_Gender_Equality.pdf" TargetMode="External"/><Relationship Id="rId2" Type="http://schemas.openxmlformats.org/officeDocument/2006/relationships/hyperlink" Target="https://www.wgea.gov.au/pay-and-gender/gender-pay-gap-data" TargetMode="External"/><Relationship Id="rId16" Type="http://schemas.openxmlformats.org/officeDocument/2006/relationships/hyperlink" Target="https://www.acara.edu.au/reporting/national-report-on-schooling-in-australia/national-report-on-schooling-in-australia-data-portal/year-12-subject-enrolments" TargetMode="External"/><Relationship Id="rId20" Type="http://schemas.openxmlformats.org/officeDocument/2006/relationships/hyperlink" Target="https://www.safeworkaustralia.gov.au/sites/default/files/2022-01/Stats%20workplace%20sexual%20harassment_infographic.pdf" TargetMode="External"/><Relationship Id="rId1" Type="http://schemas.openxmlformats.org/officeDocument/2006/relationships/hyperlink" Target="https://www.wgea.gov.au/age-and-the-gender-pay-gap" TargetMode="External"/><Relationship Id="rId6" Type="http://schemas.openxmlformats.org/officeDocument/2006/relationships/hyperlink" Target="https://www.abs.gov.au/statistics/labour/employment-and-unemployment/labour-force-australia/latest-release" TargetMode="External"/><Relationship Id="rId11" Type="http://schemas.openxmlformats.org/officeDocument/2006/relationships/hyperlink" Target="https://www.wgea.gov.au/sites/default/files/documents/2020-21_WGEA_SCORECARD.pdf" TargetMode="External"/><Relationship Id="rId5" Type="http://schemas.openxmlformats.org/officeDocument/2006/relationships/hyperlink" Target="https://www.abs.gov.au/statistics/labour/employment-and-unemployment/labour-force-australia/latest-release" TargetMode="External"/><Relationship Id="rId15" Type="http://schemas.openxmlformats.org/officeDocument/2006/relationships/hyperlink" Target="https://www.acara.edu.au/reporting/national-report-on-schooling-in-australia/national-report-on-schooling-in-australia-data-portal/key-performance-measures-for-schooling-in-australia" TargetMode="External"/><Relationship Id="rId10" Type="http://schemas.openxmlformats.org/officeDocument/2006/relationships/hyperlink" Target="https://doi.org/10.1177/08912432211001303" TargetMode="External"/><Relationship Id="rId19" Type="http://schemas.openxmlformats.org/officeDocument/2006/relationships/hyperlink" Target="https://www.oecd.org/education/good-practice-for-good-jobs-in-early-childhood-education-and-care-64562be6-en.htm" TargetMode="External"/><Relationship Id="rId4" Type="http://schemas.openxmlformats.org/officeDocument/2006/relationships/hyperlink" Target="https://www.abs.gov.au/statistics/labour/employment-and-unemployment/labour-force-australia/latest-release" TargetMode="External"/><Relationship Id="rId9" Type="http://schemas.openxmlformats.org/officeDocument/2006/relationships/hyperlink" Target="https://www.wgea.gov.au/sites/default/files/documents/22_05%20AGE%20INFO.pdf" TargetMode="External"/><Relationship Id="rId14" Type="http://schemas.openxmlformats.org/officeDocument/2006/relationships/hyperlink" Target="https://www.catalyst.org/research/why-diversity-and-inclusion-matt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3877B5AEC84C26ABE300F48A833CD5"/>
        <w:category>
          <w:name w:val="General"/>
          <w:gallery w:val="placeholder"/>
        </w:category>
        <w:types>
          <w:type w:val="bbPlcHdr"/>
        </w:types>
        <w:behaviors>
          <w:behavior w:val="content"/>
        </w:behaviors>
        <w:guid w:val="{0B8B1F41-D7B7-49B4-B40D-0F6F851A6A70}"/>
      </w:docPartPr>
      <w:docPartBody>
        <w:p w:rsidR="00386367" w:rsidRDefault="00386367">
          <w:pPr>
            <w:pStyle w:val="EB3877B5AEC84C26ABE300F48A833CD5"/>
          </w:pPr>
          <w:r w:rsidRPr="00F13E41">
            <w:rPr>
              <w:rStyle w:val="PlaceholderText"/>
            </w:rPr>
            <w:t>[Title]</w:t>
          </w:r>
        </w:p>
      </w:docPartBody>
    </w:docPart>
    <w:docPart>
      <w:docPartPr>
        <w:name w:val="10D6513FF7D9482DBF35F8C750840C0A"/>
        <w:category>
          <w:name w:val="General"/>
          <w:gallery w:val="placeholder"/>
        </w:category>
        <w:types>
          <w:type w:val="bbPlcHdr"/>
        </w:types>
        <w:behaviors>
          <w:behavior w:val="content"/>
        </w:behaviors>
        <w:guid w:val="{1F7802A0-D091-4685-A848-12A4A095AA20}"/>
      </w:docPartPr>
      <w:docPartBody>
        <w:p w:rsidR="00386367" w:rsidRDefault="00386367">
          <w:pPr>
            <w:pStyle w:val="10D6513FF7D9482DBF35F8C750840C0A"/>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67"/>
    <w:rsid w:val="000100E6"/>
    <w:rsid w:val="001238CB"/>
    <w:rsid w:val="00204226"/>
    <w:rsid w:val="00386367"/>
    <w:rsid w:val="00875722"/>
    <w:rsid w:val="00B02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3877B5AEC84C26ABE300F48A833CD5">
    <w:name w:val="EB3877B5AEC84C26ABE300F48A833CD5"/>
  </w:style>
  <w:style w:type="paragraph" w:customStyle="1" w:styleId="10D6513FF7D9482DBF35F8C750840C0A">
    <w:name w:val="10D6513FF7D9482DBF35F8C750840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A4C12DF371E8F4BB93A2BEA4DE4AEC1" ma:contentTypeVersion="7" ma:contentTypeDescription="ShareHub Document" ma:contentTypeScope="" ma:versionID="0fadfeb0e644ff012fc6c2d6ff120b19">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DOC22-326665</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A51F-95D4-44A1-A1FE-59CBCF318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38F1C-C245-4C33-9EF3-CF3F82FDDB51}">
  <ds:schemaRefs>
    <ds:schemaRef ds:uri="http://schemas.microsoft.com/sharepoint/v3/contenttype/forms"/>
  </ds:schemaRefs>
</ds:datastoreItem>
</file>

<file path=customXml/itemProps3.xml><?xml version="1.0" encoding="utf-8"?>
<ds:datastoreItem xmlns:ds="http://schemas.openxmlformats.org/officeDocument/2006/customXml" ds:itemID="{F8BAABE3-C765-4011-AAE3-8F8762E9568F}">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customXml/itemProps4.xml><?xml version="1.0" encoding="utf-8"?>
<ds:datastoreItem xmlns:ds="http://schemas.openxmlformats.org/officeDocument/2006/customXml" ds:itemID="{12C6237D-26D3-4856-B1C5-0B172471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Employment</vt:lpstr>
    </vt:vector>
  </TitlesOfParts>
  <Manager>Office for Women</Manager>
  <Company>Department of the Prime Minister and Cabinet</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dc:title>
  <dc:subject>Phase One Consultation: National Strategy to Achieve Gender Equality Introduction</dc:subject>
  <dc:creator>Department of the Prime Minister and Cabinet</dc:creator>
  <cp:keywords/>
  <dc:description/>
  <cp:lastModifiedBy>Darrell Hooper</cp:lastModifiedBy>
  <cp:revision>5</cp:revision>
  <dcterms:created xsi:type="dcterms:W3CDTF">2022-11-20T22:28:00Z</dcterms:created>
  <dcterms:modified xsi:type="dcterms:W3CDTF">2023-02-13T04:47:00Z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0x0101002825A64A6E1845A99A9D8EE8A5686ECB00BA4C12DF371E8F4BB93A2BEA4DE4AEC1</vt:lpwstr>
  </property>
  <property fmtid="{D5CDD505-2E9C-101B-9397-08002B2CF9AE}" pid="3" name="HPRMSecurityCaveat">
    <vt:lpwstr/>
  </property>
  <property fmtid="{D5CDD505-2E9C-101B-9397-08002B2CF9AE}" pid="4" name="HPRMSecurityLevel">
    <vt:lpwstr>48;#OFFICIAL|11463c70-78df-4e3b-b0ff-f66cd3cb26ec</vt:lpwstr>
  </property>
</Properties>
</file>