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326909" w:displacedByCustomXml="next"/>
    <w:sdt>
      <w:sdtPr>
        <w:alias w:val="Title"/>
        <w:tag w:val=""/>
        <w:id w:val="879900963"/>
        <w:placeholder>
          <w:docPart w:val="EB3877B5AEC84C26ABE300F48A833CD5"/>
        </w:placeholder>
        <w:dataBinding w:prefixMappings="xmlns:ns0='http://purl.org/dc/elements/1.1/' xmlns:ns1='http://schemas.openxmlformats.org/package/2006/metadata/core-properties' " w:xpath="/ns1:coreProperties[1]/ns0:title[1]" w:storeItemID="{6C3C8BC8-F283-45AE-878A-BAB7291924A1}"/>
        <w:text/>
      </w:sdtPr>
      <w:sdtEndPr/>
      <w:sdtContent>
        <w:p w14:paraId="3BB8E216" w14:textId="5F4A36B7" w:rsidR="002D3BA6" w:rsidRDefault="004E416F" w:rsidP="002D3BA6">
          <w:pPr>
            <w:pStyle w:val="Title"/>
          </w:pPr>
          <w:r>
            <w:t>Housing and Infrastructure</w:t>
          </w:r>
        </w:p>
      </w:sdtContent>
    </w:sdt>
    <w:sdt>
      <w:sdtPr>
        <w:alias w:val="Subject"/>
        <w:tag w:val=""/>
        <w:id w:val="-472139675"/>
        <w:placeholder>
          <w:docPart w:val="10D6513FF7D9482DBF35F8C750840C0A"/>
        </w:placeholder>
        <w:dataBinding w:prefixMappings="xmlns:ns0='http://purl.org/dc/elements/1.1/' xmlns:ns1='http://schemas.openxmlformats.org/package/2006/metadata/core-properties' " w:xpath="/ns1:coreProperties[1]/ns0:subject[1]" w:storeItemID="{6C3C8BC8-F283-45AE-878A-BAB7291924A1}"/>
        <w:text/>
      </w:sdtPr>
      <w:sdtEndPr/>
      <w:sdtContent>
        <w:p w14:paraId="3D60A460" w14:textId="7E2F289A" w:rsidR="00853F4F" w:rsidRDefault="004E416F" w:rsidP="00853F4F">
          <w:pPr>
            <w:pStyle w:val="Subtitle"/>
          </w:pPr>
          <w:r>
            <w:t>Phase One Consultation: National Strategy to Achieve Gender Equality</w:t>
          </w:r>
        </w:p>
      </w:sdtContent>
    </w:sdt>
    <w:bookmarkEnd w:id="0" w:displacedByCustomXml="prev"/>
    <w:bookmarkStart w:id="1" w:name="_Toc96326913" w:displacedByCustomXml="prev"/>
    <w:bookmarkStart w:id="2" w:name="_Toc96094558" w:displacedByCustomXml="prev"/>
    <w:bookmarkStart w:id="3" w:name="_Toc96094525" w:displacedByCustomXml="prev"/>
    <w:bookmarkStart w:id="4" w:name="_Toc96091122" w:displacedByCustomXml="prev"/>
    <w:bookmarkEnd w:id="4"/>
    <w:bookmarkEnd w:id="3"/>
    <w:bookmarkEnd w:id="2"/>
    <w:bookmarkEnd w:id="1"/>
    <w:p w14:paraId="5CBE547F" w14:textId="77777777" w:rsidR="00B712F6" w:rsidRDefault="00B712F6" w:rsidP="00B712F6">
      <w:pPr>
        <w:pStyle w:val="Heading1"/>
      </w:pPr>
      <w:r w:rsidRPr="00467470">
        <w:t>Introduction</w:t>
      </w:r>
    </w:p>
    <w:p w14:paraId="0CBC6289" w14:textId="77777777" w:rsidR="00B712F6" w:rsidRPr="00265614" w:rsidRDefault="00B712F6" w:rsidP="00B712F6">
      <w:pPr>
        <w:rPr>
          <w:rFonts w:eastAsia="Times New Roman"/>
          <w:lang w:eastAsia="en-AU"/>
        </w:rPr>
      </w:pPr>
      <w:r w:rsidRPr="00265614">
        <w:rPr>
          <w:rFonts w:eastAsia="Times New Roman"/>
          <w:lang w:eastAsia="en-AU"/>
        </w:rPr>
        <w:t>Gender equality is at the heart of the Australian Government’s vision for a better future, and the Government is committed to restoring Australia’s leadership on gender equality. </w:t>
      </w:r>
    </w:p>
    <w:p w14:paraId="321CD672" w14:textId="77777777" w:rsidR="00B712F6" w:rsidRPr="00265614" w:rsidRDefault="00B712F6" w:rsidP="00B712F6">
      <w:pPr>
        <w:rPr>
          <w:rFonts w:eastAsia="Times New Roman"/>
          <w:lang w:eastAsia="en-AU"/>
        </w:rPr>
      </w:pPr>
      <w:r w:rsidRPr="00265614">
        <w:rPr>
          <w:rFonts w:eastAsia="Times New Roman"/>
          <w:lang w:eastAsia="en-AU"/>
        </w:rPr>
        <w:t>The Government will develop a National Strategy to Achieve Gender Equality (the Strategy) to drive this ambition.</w:t>
      </w:r>
    </w:p>
    <w:p w14:paraId="175BA17E" w14:textId="77777777" w:rsidR="00B712F6" w:rsidRPr="00265614" w:rsidRDefault="00B712F6" w:rsidP="00A85747">
      <w:pPr>
        <w:pStyle w:val="Heading2"/>
        <w:rPr>
          <w:rFonts w:eastAsia="Times New Roman"/>
          <w:lang w:eastAsia="en-AU"/>
        </w:rPr>
      </w:pPr>
      <w:r w:rsidRPr="00265614">
        <w:rPr>
          <w:rFonts w:eastAsia="Times New Roman"/>
          <w:lang w:eastAsia="en-AU"/>
        </w:rPr>
        <w:t>What will the Strategy do?</w:t>
      </w:r>
    </w:p>
    <w:p w14:paraId="314F1C97" w14:textId="77777777" w:rsidR="00B712F6" w:rsidRPr="00265614" w:rsidRDefault="00B712F6" w:rsidP="00B712F6">
      <w:pPr>
        <w:rPr>
          <w:rFonts w:eastAsia="Times New Roman" w:cstheme="minorHAnsi"/>
          <w:lang w:eastAsia="en-AU"/>
        </w:rPr>
      </w:pPr>
      <w:r w:rsidRPr="00265614">
        <w:rPr>
          <w:rFonts w:eastAsia="Times New Roman" w:cstheme="minorHAnsi"/>
          <w:lang w:eastAsia="en-AU"/>
        </w:rPr>
        <w:t>The Strategy will guide whole of community action to help make Australia one of the best countries in the world for equality between women and men. It is an important mechanism to elevate and prioritise actions that will achieve gender equality.</w:t>
      </w:r>
    </w:p>
    <w:p w14:paraId="4308A113" w14:textId="75FCD8E5" w:rsidR="00B712F6" w:rsidRPr="00265614" w:rsidRDefault="00B712F6" w:rsidP="00B712F6">
      <w:pPr>
        <w:rPr>
          <w:rFonts w:eastAsia="Times New Roman" w:cstheme="minorHAnsi"/>
          <w:lang w:eastAsia="en-AU"/>
        </w:rPr>
      </w:pPr>
      <w:r w:rsidRPr="00265614">
        <w:rPr>
          <w:rFonts w:eastAsia="Times New Roman" w:cstheme="minorHAnsi"/>
          <w:lang w:eastAsia="en-AU"/>
        </w:rPr>
        <w:t>The Strategy will complement other efforts across Government to achieve gender equality, including:</w:t>
      </w:r>
    </w:p>
    <w:p w14:paraId="3D183609" w14:textId="77777777" w:rsidR="00B712F6" w:rsidRPr="00265614" w:rsidRDefault="00B712F6" w:rsidP="00724A56">
      <w:pPr>
        <w:pStyle w:val="BulletedList-Level1"/>
        <w:rPr>
          <w:rFonts w:eastAsia="Times New Roman" w:cstheme="minorHAnsi"/>
          <w:lang w:eastAsia="en-AU"/>
        </w:rPr>
      </w:pPr>
      <w:r w:rsidRPr="00265614">
        <w:rPr>
          <w:rFonts w:eastAsia="Times New Roman" w:cstheme="minorHAnsi"/>
          <w:lang w:eastAsia="en-AU"/>
        </w:rPr>
        <w:t>the </w:t>
      </w:r>
      <w:hyperlink r:id="rId11" w:history="1">
        <w:r w:rsidRPr="00265614">
          <w:rPr>
            <w:rFonts w:eastAsia="Times New Roman" w:cstheme="minorHAnsi"/>
            <w:i/>
            <w:iCs/>
            <w:color w:val="0062A0"/>
            <w:u w:val="single"/>
            <w:bdr w:val="none" w:sz="0" w:space="0" w:color="auto" w:frame="1"/>
            <w:lang w:eastAsia="en-AU"/>
          </w:rPr>
          <w:t>National Plan to End Violence against Women and Children 2022–32</w:t>
        </w:r>
      </w:hyperlink>
      <w:r w:rsidRPr="00265614">
        <w:rPr>
          <w:rFonts w:eastAsia="Times New Roman" w:cstheme="minorHAnsi"/>
          <w:lang w:eastAsia="en-AU"/>
        </w:rPr>
        <w:t> (National Plan)</w:t>
      </w:r>
    </w:p>
    <w:p w14:paraId="64DDD2D4" w14:textId="77777777" w:rsidR="00B712F6" w:rsidRPr="00265614" w:rsidRDefault="00B712F6" w:rsidP="00724A56">
      <w:pPr>
        <w:pStyle w:val="BulletedList-Level1"/>
        <w:rPr>
          <w:rFonts w:eastAsia="Times New Roman" w:cstheme="minorHAnsi"/>
          <w:lang w:eastAsia="en-AU"/>
        </w:rPr>
      </w:pPr>
      <w:r w:rsidRPr="00265614">
        <w:rPr>
          <w:rFonts w:eastAsia="Times New Roman" w:cstheme="minorHAnsi"/>
          <w:lang w:eastAsia="en-AU"/>
        </w:rPr>
        <w:t>the Government’s response to the Australian Human Rights Commission’s </w:t>
      </w:r>
      <w:proofErr w:type="spellStart"/>
      <w:r w:rsidR="004E2DE5">
        <w:fldChar w:fldCharType="begin"/>
      </w:r>
      <w:r w:rsidR="004E2DE5">
        <w:instrText xml:space="preserve"> HYPERLINK "https://humanrights.gov.au/our-work/sex-discrimination/publications/respectwork-sexual-harassment-national</w:instrText>
      </w:r>
      <w:r w:rsidR="004E2DE5">
        <w:instrText xml:space="preserve">-inquiry-report-2020" </w:instrText>
      </w:r>
      <w:r w:rsidR="004E2DE5">
        <w:fldChar w:fldCharType="separate"/>
      </w:r>
      <w:r w:rsidRPr="00265614">
        <w:rPr>
          <w:rFonts w:eastAsia="Times New Roman" w:cstheme="minorHAnsi"/>
          <w:color w:val="0062A0"/>
          <w:u w:val="single"/>
          <w:bdr w:val="none" w:sz="0" w:space="0" w:color="auto" w:frame="1"/>
          <w:lang w:eastAsia="en-AU"/>
        </w:rPr>
        <w:t>Respect@Work</w:t>
      </w:r>
      <w:proofErr w:type="spellEnd"/>
      <w:r w:rsidRPr="00265614">
        <w:rPr>
          <w:rFonts w:eastAsia="Times New Roman" w:cstheme="minorHAnsi"/>
          <w:color w:val="0062A0"/>
          <w:u w:val="single"/>
          <w:bdr w:val="none" w:sz="0" w:space="0" w:color="auto" w:frame="1"/>
          <w:lang w:eastAsia="en-AU"/>
        </w:rPr>
        <w:t xml:space="preserve"> Report</w:t>
      </w:r>
      <w:r w:rsidR="004E2DE5">
        <w:rPr>
          <w:rFonts w:eastAsia="Times New Roman" w:cstheme="minorHAnsi"/>
          <w:color w:val="0062A0"/>
          <w:u w:val="single"/>
          <w:bdr w:val="none" w:sz="0" w:space="0" w:color="auto" w:frame="1"/>
          <w:lang w:eastAsia="en-AU"/>
        </w:rPr>
        <w:fldChar w:fldCharType="end"/>
      </w:r>
    </w:p>
    <w:p w14:paraId="2CEE0DDF" w14:textId="77777777" w:rsidR="00B712F6" w:rsidRPr="00265614" w:rsidRDefault="00B712F6" w:rsidP="00724A56">
      <w:pPr>
        <w:pStyle w:val="BulletedList-Level1"/>
        <w:rPr>
          <w:rFonts w:eastAsia="Times New Roman" w:cstheme="minorHAnsi"/>
          <w:lang w:eastAsia="en-AU"/>
        </w:rPr>
      </w:pPr>
      <w:r w:rsidRPr="00265614">
        <w:rPr>
          <w:rFonts w:eastAsia="Times New Roman" w:cstheme="minorHAnsi"/>
          <w:lang w:eastAsia="en-AU"/>
        </w:rPr>
        <w:t>the</w:t>
      </w:r>
      <w:r w:rsidRPr="00265614">
        <w:rPr>
          <w:rFonts w:eastAsia="Times New Roman" w:cstheme="minorHAnsi"/>
          <w:i/>
          <w:iCs/>
          <w:bdr w:val="none" w:sz="0" w:space="0" w:color="auto" w:frame="1"/>
          <w:lang w:eastAsia="en-AU"/>
        </w:rPr>
        <w:t> </w:t>
      </w:r>
      <w:hyperlink r:id="rId12" w:history="1">
        <w:r w:rsidRPr="00265614">
          <w:rPr>
            <w:rFonts w:eastAsia="Times New Roman" w:cstheme="minorHAnsi"/>
            <w:i/>
            <w:iCs/>
            <w:color w:val="0062A0"/>
            <w:u w:val="single"/>
            <w:bdr w:val="none" w:sz="0" w:space="0" w:color="auto" w:frame="1"/>
            <w:lang w:eastAsia="en-AU"/>
          </w:rPr>
          <w:t>National Women’s Health Strategy 2020–2030</w:t>
        </w:r>
      </w:hyperlink>
    </w:p>
    <w:p w14:paraId="4396EB58" w14:textId="77777777" w:rsidR="00B712F6" w:rsidRPr="00265614" w:rsidRDefault="00B712F6" w:rsidP="00B712F6">
      <w:pPr>
        <w:rPr>
          <w:rFonts w:eastAsia="Times New Roman" w:cstheme="minorHAnsi"/>
          <w:lang w:eastAsia="en-AU"/>
        </w:rPr>
      </w:pPr>
      <w:r w:rsidRPr="00265614">
        <w:rPr>
          <w:rFonts w:eastAsia="Times New Roman" w:cstheme="minorHAnsi"/>
          <w:lang w:eastAsia="en-AU"/>
        </w:rPr>
        <w:t>It will also support the work of similar state and territory plans.</w:t>
      </w:r>
    </w:p>
    <w:p w14:paraId="0FCF65D0" w14:textId="77777777" w:rsidR="00B712F6" w:rsidRPr="00265614" w:rsidRDefault="00B712F6" w:rsidP="00A85747">
      <w:pPr>
        <w:pStyle w:val="Heading2"/>
        <w:rPr>
          <w:rFonts w:eastAsia="Times New Roman"/>
          <w:lang w:eastAsia="en-AU"/>
        </w:rPr>
      </w:pPr>
      <w:r w:rsidRPr="00265614">
        <w:rPr>
          <w:rFonts w:eastAsia="Times New Roman"/>
          <w:lang w:eastAsia="en-AU"/>
        </w:rPr>
        <w:t>How will the Strategy be developed?</w:t>
      </w:r>
    </w:p>
    <w:p w14:paraId="2281A40C" w14:textId="77777777" w:rsidR="00B712F6" w:rsidRPr="00265614" w:rsidRDefault="00B712F6" w:rsidP="00B712F6">
      <w:pPr>
        <w:rPr>
          <w:rFonts w:eastAsia="Times New Roman"/>
          <w:lang w:eastAsia="en-AU"/>
        </w:rPr>
      </w:pPr>
      <w:r w:rsidRPr="00265614">
        <w:rPr>
          <w:rFonts w:eastAsia="Times New Roman"/>
          <w:lang w:eastAsia="en-AU"/>
        </w:rPr>
        <w:t>The Government will deliver the Strategy by mid-2023.</w:t>
      </w:r>
    </w:p>
    <w:p w14:paraId="627F1EC6" w14:textId="2097F717" w:rsidR="00B712F6" w:rsidRPr="00265614" w:rsidRDefault="00B712F6" w:rsidP="00B712F6">
      <w:pPr>
        <w:rPr>
          <w:rFonts w:eastAsia="Times New Roman"/>
          <w:lang w:eastAsia="en-AU"/>
        </w:rPr>
      </w:pPr>
      <w:r w:rsidRPr="00265614">
        <w:rPr>
          <w:rFonts w:eastAsia="Times New Roman"/>
          <w:lang w:eastAsia="en-AU"/>
        </w:rPr>
        <w:t>The Off</w:t>
      </w:r>
      <w:r w:rsidR="00281D37">
        <w:rPr>
          <w:rFonts w:eastAsia="Times New Roman"/>
          <w:lang w:eastAsia="en-AU"/>
        </w:rPr>
        <w:t>ice for Women will develop the S</w:t>
      </w:r>
      <w:r w:rsidRPr="00265614">
        <w:rPr>
          <w:rFonts w:eastAsia="Times New Roman"/>
          <w:lang w:eastAsia="en-AU"/>
        </w:rPr>
        <w:t>trategy in consultation with women and girls around Australia, with a focus on ensuring that diverse voices are heard and included.</w:t>
      </w:r>
    </w:p>
    <w:p w14:paraId="41CC7788" w14:textId="6B9A3778" w:rsidR="00B712F6" w:rsidRPr="00265614" w:rsidRDefault="00B712F6" w:rsidP="00B712F6">
      <w:pPr>
        <w:rPr>
          <w:rFonts w:eastAsia="Times New Roman"/>
          <w:lang w:eastAsia="en-AU"/>
        </w:rPr>
      </w:pPr>
      <w:r w:rsidRPr="00265614">
        <w:rPr>
          <w:rFonts w:eastAsia="Times New Roman"/>
          <w:lang w:eastAsia="en-AU"/>
        </w:rPr>
        <w:t>The Government has also established the Women’s Economic Equality Taskforce (the Taskforce) to provide independent advice to Government, ensuring women are at the centre of policy and decision-making. The Taskforce will be a leading contributor to the Strategy, and as part of this will engage broadly with the Australian community to elevate and honour the voices of women in the Strategy.</w:t>
      </w:r>
    </w:p>
    <w:p w14:paraId="5C1281EF" w14:textId="77777777" w:rsidR="00B712F6" w:rsidRPr="00265614" w:rsidRDefault="00B712F6" w:rsidP="00B712F6">
      <w:pPr>
        <w:rPr>
          <w:rFonts w:eastAsia="Times New Roman"/>
          <w:lang w:eastAsia="en-AU"/>
        </w:rPr>
      </w:pPr>
      <w:r w:rsidRPr="00265614">
        <w:rPr>
          <w:rFonts w:eastAsia="Times New Roman"/>
          <w:lang w:eastAsia="en-AU"/>
        </w:rPr>
        <w:t>The six </w:t>
      </w:r>
      <w:hyperlink r:id="rId13" w:history="1">
        <w:r w:rsidRPr="00265614">
          <w:rPr>
            <w:rFonts w:eastAsia="Times New Roman"/>
            <w:color w:val="0062A0"/>
            <w:u w:val="single"/>
            <w:bdr w:val="none" w:sz="0" w:space="0" w:color="auto" w:frame="1"/>
            <w:lang w:eastAsia="en-AU"/>
          </w:rPr>
          <w:t>National Women’s Alliances</w:t>
        </w:r>
      </w:hyperlink>
      <w:r w:rsidRPr="00265614">
        <w:rPr>
          <w:rFonts w:eastAsia="Times New Roman"/>
          <w:lang w:eastAsia="en-AU"/>
        </w:rPr>
        <w:t> will also play a key role in informing the development of the Strategy.</w:t>
      </w:r>
    </w:p>
    <w:p w14:paraId="4D0F8C62" w14:textId="77777777" w:rsidR="00B712F6" w:rsidRPr="00265614" w:rsidRDefault="00B712F6" w:rsidP="00DA7902">
      <w:pPr>
        <w:pStyle w:val="Heading1"/>
        <w:rPr>
          <w:rFonts w:eastAsia="Times New Roman"/>
          <w:lang w:eastAsia="en-AU"/>
        </w:rPr>
      </w:pPr>
      <w:r w:rsidRPr="00265614">
        <w:rPr>
          <w:rFonts w:eastAsia="Times New Roman"/>
          <w:lang w:eastAsia="en-AU"/>
        </w:rPr>
        <w:lastRenderedPageBreak/>
        <w:t>Consultation</w:t>
      </w:r>
    </w:p>
    <w:p w14:paraId="68896E48" w14:textId="4493239F" w:rsidR="00B712F6" w:rsidRPr="00265614" w:rsidRDefault="00B712F6" w:rsidP="00B712F6">
      <w:pPr>
        <w:rPr>
          <w:rFonts w:eastAsia="Times New Roman"/>
          <w:lang w:eastAsia="en-AU"/>
        </w:rPr>
      </w:pPr>
      <w:r w:rsidRPr="00265614">
        <w:rPr>
          <w:rFonts w:eastAsia="Times New Roman"/>
          <w:lang w:eastAsia="en-AU"/>
        </w:rPr>
        <w:t xml:space="preserve">Consultations will reach people </w:t>
      </w:r>
      <w:r w:rsidRPr="00265614">
        <w:t>w</w:t>
      </w:r>
      <w:r w:rsidRPr="00265614">
        <w:rPr>
          <w:lang w:eastAsia="en-AU"/>
        </w:rPr>
        <w:t>ith lived experience of gender inequalit</w:t>
      </w:r>
      <w:r w:rsidRPr="00265614">
        <w:t xml:space="preserve">y, </w:t>
      </w:r>
      <w:r w:rsidRPr="00265614">
        <w:rPr>
          <w:lang w:eastAsia="en-AU"/>
        </w:rPr>
        <w:t>living with disability</w:t>
      </w:r>
      <w:r w:rsidRPr="00265614">
        <w:t xml:space="preserve">, </w:t>
      </w:r>
      <w:r w:rsidRPr="00265614" w:rsidDel="00995DC9">
        <w:t>First</w:t>
      </w:r>
      <w:r w:rsidR="00995DC9">
        <w:t> </w:t>
      </w:r>
      <w:r w:rsidRPr="00265614">
        <w:t xml:space="preserve">Nations people, </w:t>
      </w:r>
      <w:r w:rsidRPr="00265614">
        <w:rPr>
          <w:lang w:eastAsia="en-AU"/>
        </w:rPr>
        <w:t>people who are LGBTQIA+</w:t>
      </w:r>
      <w:r w:rsidRPr="00265614">
        <w:t xml:space="preserve">, </w:t>
      </w:r>
      <w:r w:rsidRPr="00265614">
        <w:rPr>
          <w:lang w:eastAsia="en-AU"/>
        </w:rPr>
        <w:t xml:space="preserve">migrant and refugee </w:t>
      </w:r>
      <w:r>
        <w:rPr>
          <w:lang w:eastAsia="en-AU"/>
        </w:rPr>
        <w:t>people</w:t>
      </w:r>
      <w:r w:rsidRPr="00265614">
        <w:t xml:space="preserve">, </w:t>
      </w:r>
      <w:r w:rsidRPr="00265614">
        <w:rPr>
          <w:lang w:eastAsia="en-AU"/>
        </w:rPr>
        <w:t>those living in regional and remote areas</w:t>
      </w:r>
      <w:r w:rsidRPr="00265614">
        <w:t xml:space="preserve"> and </w:t>
      </w:r>
      <w:r w:rsidRPr="00265614">
        <w:rPr>
          <w:lang w:eastAsia="en-AU"/>
        </w:rPr>
        <w:t>people from all backgrounds and classes.</w:t>
      </w:r>
    </w:p>
    <w:p w14:paraId="7B58A275" w14:textId="77777777" w:rsidR="00B712F6" w:rsidRPr="00265614" w:rsidRDefault="00B712F6" w:rsidP="00B712F6">
      <w:pPr>
        <w:rPr>
          <w:rFonts w:eastAsia="Times New Roman"/>
          <w:lang w:eastAsia="en-AU"/>
        </w:rPr>
      </w:pPr>
      <w:r w:rsidRPr="00265614">
        <w:rPr>
          <w:rFonts w:eastAsia="Times New Roman"/>
          <w:lang w:eastAsia="en-AU"/>
        </w:rPr>
        <w:t xml:space="preserve">The consultation </w:t>
      </w:r>
      <w:proofErr w:type="gramStart"/>
      <w:r w:rsidRPr="00265614">
        <w:rPr>
          <w:rFonts w:eastAsia="Times New Roman"/>
          <w:lang w:eastAsia="en-AU"/>
        </w:rPr>
        <w:t>will be undertaken</w:t>
      </w:r>
      <w:proofErr w:type="gramEnd"/>
      <w:r w:rsidRPr="00265614">
        <w:rPr>
          <w:rFonts w:eastAsia="Times New Roman"/>
          <w:lang w:eastAsia="en-AU"/>
        </w:rPr>
        <w:t xml:space="preserve"> in </w:t>
      </w:r>
      <w:r w:rsidRPr="00DA7902">
        <w:rPr>
          <w:rFonts w:eastAsia="Times New Roman"/>
          <w:b/>
          <w:lang w:eastAsia="en-AU"/>
        </w:rPr>
        <w:t>two stages.</w:t>
      </w:r>
    </w:p>
    <w:p w14:paraId="125D6EB3" w14:textId="1E5764F5" w:rsidR="00B712F6" w:rsidRPr="00265614" w:rsidRDefault="00B712F6" w:rsidP="00B712F6">
      <w:pPr>
        <w:rPr>
          <w:rFonts w:eastAsia="Times New Roman"/>
          <w:lang w:eastAsia="en-AU"/>
        </w:rPr>
      </w:pPr>
      <w:r w:rsidRPr="00265614">
        <w:rPr>
          <w:rFonts w:eastAsia="Times New Roman"/>
          <w:lang w:eastAsia="en-AU"/>
        </w:rPr>
        <w:t>Starting in November</w:t>
      </w:r>
      <w:r w:rsidR="00281D37">
        <w:rPr>
          <w:rFonts w:eastAsia="Times New Roman"/>
          <w:lang w:eastAsia="en-AU"/>
        </w:rPr>
        <w:t xml:space="preserve"> 2022</w:t>
      </w:r>
      <w:r w:rsidRPr="00265614">
        <w:rPr>
          <w:rFonts w:eastAsia="Times New Roman"/>
          <w:lang w:eastAsia="en-AU"/>
        </w:rPr>
        <w:t>, the Office for Women will lead targeted national consultations to inform the early development of the Strategy. These will take place across Australia and include discussions with a range of stakeholders, including gender experts, academics, economists, women’s alliances, the community sector, unions and business.</w:t>
      </w:r>
    </w:p>
    <w:p w14:paraId="256C76CF" w14:textId="6D782B9D" w:rsidR="00B712F6" w:rsidRPr="00265614" w:rsidRDefault="00281D37" w:rsidP="00B712F6">
      <w:pPr>
        <w:rPr>
          <w:rFonts w:eastAsia="Times New Roman"/>
          <w:lang w:eastAsia="en-AU"/>
        </w:rPr>
      </w:pPr>
      <w:r>
        <w:rPr>
          <w:rFonts w:eastAsia="Times New Roman"/>
          <w:lang w:eastAsia="en-AU"/>
        </w:rPr>
        <w:t>In early</w:t>
      </w:r>
      <w:r w:rsidR="00B712F6" w:rsidRPr="00265614">
        <w:rPr>
          <w:rFonts w:eastAsia="Times New Roman"/>
          <w:lang w:eastAsia="en-AU"/>
        </w:rPr>
        <w:t xml:space="preserve"> </w:t>
      </w:r>
      <w:r>
        <w:rPr>
          <w:rFonts w:eastAsia="Times New Roman"/>
          <w:lang w:eastAsia="en-AU"/>
        </w:rPr>
        <w:t>2023,</w:t>
      </w:r>
      <w:r w:rsidR="00B712F6" w:rsidRPr="00265614">
        <w:rPr>
          <w:rFonts w:eastAsia="Times New Roman"/>
          <w:lang w:eastAsia="en-AU"/>
        </w:rPr>
        <w:t xml:space="preserve"> broader community consultations will provide an opportunity for people to share their views of how we achieve gender equality and how t</w:t>
      </w:r>
      <w:r>
        <w:rPr>
          <w:rFonts w:eastAsia="Times New Roman"/>
          <w:lang w:eastAsia="en-AU"/>
        </w:rPr>
        <w:t>his should be reflected in the S</w:t>
      </w:r>
      <w:r w:rsidR="00B712F6" w:rsidRPr="00265614">
        <w:rPr>
          <w:rFonts w:eastAsia="Times New Roman"/>
          <w:lang w:eastAsia="en-AU"/>
        </w:rPr>
        <w:t>trategy.</w:t>
      </w:r>
    </w:p>
    <w:p w14:paraId="1EBE763D" w14:textId="3E2856D4" w:rsidR="00D14BA5" w:rsidRDefault="00B712F6" w:rsidP="00B712F6">
      <w:pPr>
        <w:rPr>
          <w:rFonts w:eastAsia="Times New Roman"/>
          <w:lang w:eastAsia="en-AU"/>
        </w:rPr>
      </w:pPr>
      <w:r w:rsidRPr="00265614">
        <w:rPr>
          <w:rFonts w:eastAsia="Times New Roman"/>
          <w:lang w:eastAsia="en-AU"/>
        </w:rPr>
        <w:t>The Strategy will draw from a comprehensive evidence base, and reflect public commentary, recent consultations and submissions to government. It will draw from contemporary research and reports, including those prepared for the </w:t>
      </w:r>
      <w:hyperlink r:id="rId14" w:history="1">
        <w:r w:rsidRPr="00265614">
          <w:rPr>
            <w:rFonts w:eastAsia="Times New Roman"/>
            <w:color w:val="0062A0"/>
            <w:u w:val="single"/>
            <w:bdr w:val="none" w:sz="0" w:space="0" w:color="auto" w:frame="1"/>
            <w:lang w:eastAsia="en-AU"/>
          </w:rPr>
          <w:t>Jobs and Skills Summit and resulting Employment White Paper</w:t>
        </w:r>
      </w:hyperlink>
      <w:r w:rsidR="00D14BA5">
        <w:rPr>
          <w:rFonts w:eastAsia="Times New Roman"/>
          <w:lang w:eastAsia="en-AU"/>
        </w:rPr>
        <w:t>.</w:t>
      </w:r>
    </w:p>
    <w:p w14:paraId="7C451B77" w14:textId="15EDE1AA" w:rsidR="00B712F6" w:rsidRPr="00265614" w:rsidRDefault="00B712F6" w:rsidP="00B712F6">
      <w:pPr>
        <w:rPr>
          <w:rFonts w:eastAsia="Times New Roman"/>
          <w:lang w:eastAsia="en-AU"/>
        </w:rPr>
      </w:pPr>
      <w:r w:rsidRPr="00265614">
        <w:rPr>
          <w:rFonts w:eastAsia="Times New Roman"/>
          <w:lang w:eastAsia="en-AU"/>
        </w:rPr>
        <w:t xml:space="preserve">Further information on consultation will be provided on the Office for Women’s </w:t>
      </w:r>
      <w:hyperlink r:id="rId15" w:history="1">
        <w:r w:rsidRPr="00265614">
          <w:rPr>
            <w:rFonts w:eastAsia="Times New Roman"/>
            <w:color w:val="3266AB"/>
            <w:u w:val="single"/>
            <w:lang w:eastAsia="en-AU"/>
          </w:rPr>
          <w:t>webpage</w:t>
        </w:r>
      </w:hyperlink>
      <w:r w:rsidR="00281D37">
        <w:rPr>
          <w:rFonts w:eastAsia="Times New Roman"/>
          <w:lang w:eastAsia="en-AU"/>
        </w:rPr>
        <w:t>.</w:t>
      </w:r>
    </w:p>
    <w:p w14:paraId="023BA2B7" w14:textId="6AFC526B" w:rsidR="00B712F6" w:rsidRPr="00265614" w:rsidRDefault="00B712F6" w:rsidP="00B712F6">
      <w:pPr>
        <w:rPr>
          <w:rFonts w:eastAsia="Times New Roman"/>
          <w:lang w:eastAsia="en-AU"/>
        </w:rPr>
      </w:pPr>
      <w:r w:rsidRPr="00265614">
        <w:rPr>
          <w:rFonts w:eastAsia="Times New Roman"/>
          <w:lang w:eastAsia="en-AU"/>
        </w:rPr>
        <w:t>For further information</w:t>
      </w:r>
      <w:r w:rsidR="00281D37">
        <w:rPr>
          <w:rFonts w:eastAsia="Times New Roman"/>
          <w:lang w:eastAsia="en-AU"/>
        </w:rPr>
        <w:t xml:space="preserve"> or to</w:t>
      </w:r>
      <w:r w:rsidRPr="00265614">
        <w:rPr>
          <w:rFonts w:eastAsia="Times New Roman"/>
          <w:lang w:eastAsia="en-AU"/>
        </w:rPr>
        <w:t xml:space="preserve"> express interest in being included in consultation, </w:t>
      </w:r>
      <w:r w:rsidR="00281D37">
        <w:rPr>
          <w:rFonts w:eastAsia="Times New Roman"/>
          <w:lang w:eastAsia="en-AU"/>
        </w:rPr>
        <w:t xml:space="preserve">please </w:t>
      </w:r>
      <w:r w:rsidRPr="00265614">
        <w:rPr>
          <w:rFonts w:eastAsia="Times New Roman"/>
          <w:lang w:eastAsia="en-AU"/>
        </w:rPr>
        <w:t>contact: </w:t>
      </w:r>
      <w:hyperlink r:id="rId16" w:history="1">
        <w:r w:rsidRPr="00265614">
          <w:rPr>
            <w:rFonts w:eastAsia="Times New Roman"/>
            <w:color w:val="0062A0"/>
            <w:u w:val="single"/>
            <w:bdr w:val="none" w:sz="0" w:space="0" w:color="auto" w:frame="1"/>
            <w:lang w:eastAsia="en-AU"/>
          </w:rPr>
          <w:t>OFWengagement@pmc.gov.au</w:t>
        </w:r>
      </w:hyperlink>
    </w:p>
    <w:p w14:paraId="28E6EAFF" w14:textId="1877D0EB" w:rsidR="00C65350" w:rsidRDefault="00C65350" w:rsidP="00C65350">
      <w:pPr>
        <w:pStyle w:val="Heading1"/>
      </w:pPr>
      <w:r>
        <w:t>Current situation</w:t>
      </w:r>
    </w:p>
    <w:p w14:paraId="479691C6" w14:textId="04BAF17C" w:rsidR="00B712F6" w:rsidRPr="008403B4" w:rsidRDefault="008403B4" w:rsidP="00B712F6">
      <w:pPr>
        <w:rPr>
          <w:b/>
        </w:rPr>
      </w:pPr>
      <w:r>
        <w:t>(</w:t>
      </w:r>
      <w:r w:rsidRPr="008403B4">
        <w:t xml:space="preserve">Note: The research and evidence outlined in this paper are not intended to be comprehensive, instead </w:t>
      </w:r>
      <w:r w:rsidR="00EE7415">
        <w:t>it is</w:t>
      </w:r>
      <w:r w:rsidRPr="008403B4">
        <w:t xml:space="preserve"> used to facilitate </w:t>
      </w:r>
      <w:r w:rsidR="00EE7415">
        <w:t>consultation</w:t>
      </w:r>
      <w:r w:rsidRPr="008403B4">
        <w:t>.)</w:t>
      </w:r>
    </w:p>
    <w:p w14:paraId="5A9CDE6B" w14:textId="77777777" w:rsidR="00D07146" w:rsidRDefault="00D07146" w:rsidP="00D07146">
      <w:pPr>
        <w:pStyle w:val="BulletedList-Level1"/>
      </w:pPr>
      <w:r>
        <w:t xml:space="preserve">The Government provides around $1.6 billion each year to the states and territories to fund homelessness and housing services and programs through the National Housing and Homelessness Agreement (NHHA). </w:t>
      </w:r>
    </w:p>
    <w:p w14:paraId="67113E26" w14:textId="303BF85D" w:rsidR="00EE1CD8" w:rsidRDefault="00D07146" w:rsidP="0035506F">
      <w:pPr>
        <w:pStyle w:val="BulletedList-Level1"/>
      </w:pPr>
      <w:r>
        <w:t xml:space="preserve">The Productivity Commission (PC) recently completed a study review into the NHHA and found it was ineffective. </w:t>
      </w:r>
      <w:r w:rsidR="00EE1CD8">
        <w:t xml:space="preserve">Australia </w:t>
      </w:r>
      <w:r w:rsidR="000469BF">
        <w:t xml:space="preserve">is facing challenges around </w:t>
      </w:r>
      <w:r w:rsidR="00EE1CD8">
        <w:t>housing affordability</w:t>
      </w:r>
      <w:r w:rsidR="000D2B63">
        <w:t xml:space="preserve"> and housing stress including</w:t>
      </w:r>
      <w:r w:rsidR="00EE1CD8">
        <w:t xml:space="preserve"> </w:t>
      </w:r>
      <w:r w:rsidR="00797A73">
        <w:t xml:space="preserve">people </w:t>
      </w:r>
      <w:r w:rsidR="00EE1CD8">
        <w:t xml:space="preserve">on low incomes spending a large share of their income on rent, </w:t>
      </w:r>
      <w:r w:rsidR="00797A73">
        <w:t xml:space="preserve">rising </w:t>
      </w:r>
      <w:r w:rsidR="00EE1CD8">
        <w:t xml:space="preserve">demand for social housing, more people seeking help </w:t>
      </w:r>
      <w:r w:rsidR="000D2B63">
        <w:t xml:space="preserve">from </w:t>
      </w:r>
      <w:r w:rsidR="00EE1CD8">
        <w:t>homelessness</w:t>
      </w:r>
      <w:r w:rsidR="000D2B63">
        <w:t xml:space="preserve"> services</w:t>
      </w:r>
      <w:r w:rsidR="00EE1CD8">
        <w:t>, and more people being turned away.</w:t>
      </w:r>
      <w:r w:rsidR="00EE1CD8">
        <w:rPr>
          <w:rStyle w:val="FootnoteReference"/>
        </w:rPr>
        <w:footnoteReference w:id="2"/>
      </w:r>
      <w:r>
        <w:t xml:space="preserve"> </w:t>
      </w:r>
    </w:p>
    <w:p w14:paraId="54F3600D" w14:textId="5082D35A" w:rsidR="00EE1CD8" w:rsidRPr="00EB44A4" w:rsidRDefault="00EE1CD8" w:rsidP="00724A56">
      <w:pPr>
        <w:pStyle w:val="BulletedList-Level1"/>
        <w:rPr>
          <w:b/>
        </w:rPr>
      </w:pPr>
      <w:r w:rsidRPr="00EB44A4">
        <w:t xml:space="preserve">A 2022 Suicide Prevention Australia survey found that housing access and affordability was the third greatest </w:t>
      </w:r>
      <w:r w:rsidR="000D2B63">
        <w:t>contributor</w:t>
      </w:r>
      <w:r w:rsidR="000D2B63" w:rsidRPr="00EB44A4">
        <w:t xml:space="preserve"> </w:t>
      </w:r>
      <w:r w:rsidRPr="00EB44A4">
        <w:t>to suicide rates in Australia over the next 12 months (72</w:t>
      </w:r>
      <w:r w:rsidR="00EE7415">
        <w:t xml:space="preserve"> per cent</w:t>
      </w:r>
      <w:r w:rsidRPr="00EB44A4">
        <w:t xml:space="preserve"> up from 51</w:t>
      </w:r>
      <w:r w:rsidR="000D2B63">
        <w:t> </w:t>
      </w:r>
      <w:r w:rsidR="00EE7415">
        <w:t>per cent</w:t>
      </w:r>
      <w:r w:rsidRPr="00EB44A4">
        <w:t xml:space="preserve"> in 2020).</w:t>
      </w:r>
      <w:r w:rsidRPr="00EB44A4">
        <w:rPr>
          <w:vertAlign w:val="superscript"/>
        </w:rPr>
        <w:footnoteReference w:id="3"/>
      </w:r>
      <w:r w:rsidRPr="00EB44A4">
        <w:t xml:space="preserve"> </w:t>
      </w:r>
    </w:p>
    <w:p w14:paraId="7D2AB78F" w14:textId="3153C55D" w:rsidR="00EB44A4" w:rsidRPr="000211EC" w:rsidRDefault="00EB44A4" w:rsidP="00724A56">
      <w:pPr>
        <w:pStyle w:val="BulletedList-Level1"/>
        <w:rPr>
          <w:b/>
        </w:rPr>
      </w:pPr>
      <w:r w:rsidRPr="00EB44A4">
        <w:lastRenderedPageBreak/>
        <w:t xml:space="preserve">Various economic and social factors, such as the gender pay gap and family </w:t>
      </w:r>
      <w:r w:rsidRPr="00EB44A4">
        <w:rPr>
          <w:bCs/>
        </w:rPr>
        <w:t xml:space="preserve">and </w:t>
      </w:r>
      <w:r w:rsidRPr="00EB44A4">
        <w:t xml:space="preserve">domestic violence (FDV), mean that women in Australia are at increased risk of housing insecurity and are less likely to own a property than men. </w:t>
      </w:r>
    </w:p>
    <w:p w14:paraId="7BCE4095" w14:textId="47035966" w:rsidR="003D5411" w:rsidRPr="000211EC" w:rsidRDefault="00D07146" w:rsidP="00724A56">
      <w:pPr>
        <w:pStyle w:val="BulletedList-Level1"/>
      </w:pPr>
      <w:r>
        <w:t xml:space="preserve">The PC Review also identified that housing </w:t>
      </w:r>
      <w:r w:rsidR="003D5411">
        <w:t>stress for women may be underreported because existing measure</w:t>
      </w:r>
      <w:r w:rsidR="00C53D35">
        <w:t>ments</w:t>
      </w:r>
      <w:r w:rsidR="003D5411">
        <w:t xml:space="preserve"> focus on direct housing costs. Women are more likely to accept inadequate or inappropriate housing that is cheaper, but is located further away from employment options and services</w:t>
      </w:r>
      <w:r w:rsidR="00C53D35">
        <w:t>—</w:t>
      </w:r>
      <w:r w:rsidR="003D5411">
        <w:t>such as childcare, health care and disability service providers</w:t>
      </w:r>
      <w:r w:rsidR="00C53D35">
        <w:t>—</w:t>
      </w:r>
      <w:r w:rsidR="003D5411">
        <w:t>leading to greater costs for energy, transport, and other costs.</w:t>
      </w:r>
      <w:r w:rsidR="003D5411">
        <w:rPr>
          <w:rStyle w:val="FootnoteReference"/>
        </w:rPr>
        <w:footnoteReference w:id="4"/>
      </w:r>
    </w:p>
    <w:p w14:paraId="3D01F419" w14:textId="54D1B444" w:rsidR="0059265A" w:rsidRPr="0059265A" w:rsidRDefault="00C53D35" w:rsidP="00857CBE">
      <w:pPr>
        <w:pStyle w:val="BulletedList-Level1"/>
        <w:rPr>
          <w:b/>
        </w:rPr>
      </w:pPr>
      <w:r>
        <w:t>Housing challenges</w:t>
      </w:r>
      <w:r w:rsidR="00D75A87" w:rsidRPr="00EB44A4">
        <w:t xml:space="preserve"> are particularly acute for </w:t>
      </w:r>
      <w:r w:rsidR="00C01249">
        <w:t>women</w:t>
      </w:r>
      <w:r w:rsidR="00D75A87" w:rsidRPr="00EB44A4">
        <w:t xml:space="preserve"> </w:t>
      </w:r>
      <w:r>
        <w:t xml:space="preserve">impacted by </w:t>
      </w:r>
      <w:r w:rsidR="00D75A87" w:rsidRPr="00EB44A4">
        <w:t>FDV, First</w:t>
      </w:r>
      <w:r w:rsidR="00D75A87">
        <w:t> </w:t>
      </w:r>
      <w:r w:rsidR="00D75A87" w:rsidRPr="00EB44A4">
        <w:t>Nations people, older people, young people, people with disability</w:t>
      </w:r>
      <w:r w:rsidR="00D75A87">
        <w:t>, single parents with school-aged children, and people from first-generation, non-English speaking migrant backgrounds</w:t>
      </w:r>
      <w:r w:rsidR="00D75A87" w:rsidRPr="00EB44A4">
        <w:t>. There are intersectional impacts for women in these groups</w:t>
      </w:r>
      <w:r w:rsidR="00D75A87" w:rsidRPr="0059265A">
        <w:rPr>
          <w:rFonts w:cstheme="minorHAnsi"/>
          <w:szCs w:val="24"/>
        </w:rPr>
        <w:t>.</w:t>
      </w:r>
      <w:r w:rsidR="00D75A87" w:rsidRPr="00187C1C">
        <w:rPr>
          <w:rFonts w:cstheme="minorHAnsi"/>
          <w:szCs w:val="24"/>
        </w:rPr>
        <w:t xml:space="preserve"> </w:t>
      </w:r>
    </w:p>
    <w:p w14:paraId="49E009A0" w14:textId="5BC32344" w:rsidR="0059265A" w:rsidRPr="00DA7902" w:rsidRDefault="0059265A" w:rsidP="00DA7902">
      <w:pPr>
        <w:pStyle w:val="Heading2"/>
      </w:pPr>
      <w:r w:rsidRPr="00DA7902">
        <w:t>Government housing initiatives</w:t>
      </w:r>
    </w:p>
    <w:p w14:paraId="152DB3A0" w14:textId="1C587146" w:rsidR="00530679" w:rsidRDefault="00336C42" w:rsidP="00175C0D">
      <w:pPr>
        <w:pStyle w:val="BulletedList-Level1"/>
      </w:pPr>
      <w:r>
        <w:t>In response to these housing pressures, the Government is implementing a comprehensive housing reform agenda, which includes</w:t>
      </w:r>
      <w:r w:rsidR="00530679">
        <w:t xml:space="preserve"> </w:t>
      </w:r>
      <w:r>
        <w:t>establishing a $10 billion Housing Australia Future Fund to</w:t>
      </w:r>
      <w:r w:rsidR="00530679">
        <w:t xml:space="preserve"> help build:</w:t>
      </w:r>
    </w:p>
    <w:p w14:paraId="6CB4CE51" w14:textId="13E47725" w:rsidR="00336C42" w:rsidRPr="00861C13" w:rsidRDefault="00336C42" w:rsidP="00861C13">
      <w:pPr>
        <w:pStyle w:val="BulletedList-Level2"/>
      </w:pPr>
      <w:r w:rsidRPr="00861C13">
        <w:t xml:space="preserve">20,000 new social housing dwellings, and allocating 4,000 of them to women and children impacted by </w:t>
      </w:r>
      <w:r w:rsidR="00857CBE" w:rsidRPr="00861C13">
        <w:t>FDV</w:t>
      </w:r>
      <w:r w:rsidRPr="00861C13">
        <w:t xml:space="preserve"> and older women at risk of homelessness</w:t>
      </w:r>
      <w:r w:rsidR="00530679" w:rsidRPr="00861C13">
        <w:t>; and</w:t>
      </w:r>
    </w:p>
    <w:p w14:paraId="4E4D91CF" w14:textId="0B7EF477" w:rsidR="00530679" w:rsidRPr="00861C13" w:rsidRDefault="00530679" w:rsidP="00861C13">
      <w:pPr>
        <w:pStyle w:val="BulletedList-Level2"/>
      </w:pPr>
      <w:r w:rsidRPr="00861C13">
        <w:t>10,000 new affordable housing dwellings, including for frontline wo</w:t>
      </w:r>
      <w:r w:rsidR="00A03B33" w:rsidRPr="00861C13">
        <w:t>rkers</w:t>
      </w:r>
      <w:r w:rsidR="0059265A" w:rsidRPr="00861C13">
        <w:t xml:space="preserve"> in </w:t>
      </w:r>
      <w:r w:rsidR="00A03B33" w:rsidRPr="00861C13">
        <w:t>professions with majority women participation such as nurses and cleaners.</w:t>
      </w:r>
    </w:p>
    <w:p w14:paraId="7A278493" w14:textId="77777777" w:rsidR="00834280" w:rsidRDefault="00834280">
      <w:pPr>
        <w:pStyle w:val="BulletedList-Level1"/>
      </w:pPr>
      <w:r>
        <w:t xml:space="preserve">The Government has also announced a new National Housing Accord, an agreement with all levels of government and key players in the industry, which includes a target of one million new well-located homes over five years from 2024. </w:t>
      </w:r>
    </w:p>
    <w:p w14:paraId="3F7D19F4" w14:textId="7F8C9634" w:rsidR="00834280" w:rsidRDefault="00834280" w:rsidP="00175C0D">
      <w:pPr>
        <w:pStyle w:val="BulletedList-Level2"/>
      </w:pPr>
      <w:r>
        <w:t xml:space="preserve">Under the Accord, the Government will provide $350 million to deliver an additional 10,000 affordable homes over five years from 2024, to be </w:t>
      </w:r>
      <w:r w:rsidR="00A03B33">
        <w:t>built on</w:t>
      </w:r>
      <w:r>
        <w:t xml:space="preserve"> by the states and territories for a total of 20,000 new affordable dwellings.</w:t>
      </w:r>
    </w:p>
    <w:p w14:paraId="09A80C3B" w14:textId="4C24EBF6" w:rsidR="00530679" w:rsidRDefault="00530679">
      <w:pPr>
        <w:pStyle w:val="BulletedList-Level1"/>
      </w:pPr>
      <w:r>
        <w:t>The Government has also committed to:</w:t>
      </w:r>
    </w:p>
    <w:p w14:paraId="650AB73E" w14:textId="0C1EB5DF" w:rsidR="00834280" w:rsidRDefault="00857CBE" w:rsidP="00175C0D">
      <w:pPr>
        <w:pStyle w:val="BulletedList-Level2"/>
      </w:pPr>
      <w:r>
        <w:t>expand</w:t>
      </w:r>
      <w:r w:rsidR="00530679">
        <w:t xml:space="preserve"> the remit of the National Housing Infrastructure Facility to more flexibly deploy up to $575 million to unlock over 5,500 projected new dwellings, accelerate housing supply, and seek to attract more institutional capital to the sector</w:t>
      </w:r>
      <w:r w:rsidR="00834280">
        <w:t xml:space="preserve">; </w:t>
      </w:r>
    </w:p>
    <w:p w14:paraId="40A46F0B" w14:textId="60CBC767" w:rsidR="00834280" w:rsidRDefault="00834280" w:rsidP="00175C0D">
      <w:pPr>
        <w:pStyle w:val="BulletedList-Level2"/>
      </w:pPr>
      <w:r>
        <w:t>develop</w:t>
      </w:r>
      <w:r w:rsidR="00336C42">
        <w:t xml:space="preserve"> a new National Housing and Homelessness Plan</w:t>
      </w:r>
      <w:r>
        <w:t xml:space="preserve"> to set out short, medium and long term housing and homelessness policy;</w:t>
      </w:r>
    </w:p>
    <w:p w14:paraId="62799905" w14:textId="74EC8909" w:rsidR="00336C42" w:rsidRDefault="00336C42" w:rsidP="00175C0D">
      <w:pPr>
        <w:pStyle w:val="BulletedList-Level2"/>
      </w:pPr>
      <w:r>
        <w:t>establish a National Housing Supply and Affordability Council to independently advise the Government on housing policy</w:t>
      </w:r>
      <w:r w:rsidR="00834280">
        <w:t>;</w:t>
      </w:r>
    </w:p>
    <w:p w14:paraId="72687006" w14:textId="567E998A" w:rsidR="00834280" w:rsidRDefault="00834280" w:rsidP="00834280">
      <w:pPr>
        <w:pStyle w:val="BulletedList-Level2"/>
      </w:pPr>
      <w:r>
        <w:t>establish the Regional First Home Buyer Guarantee, which commenced on 1 October 2022, and will help 10,000 first home buyers in regional Australia to buy a home; and</w:t>
      </w:r>
    </w:p>
    <w:p w14:paraId="544B25C9" w14:textId="0BE2F703" w:rsidR="00834280" w:rsidRDefault="00834280" w:rsidP="00175C0D">
      <w:pPr>
        <w:pStyle w:val="BulletedList-Level2"/>
      </w:pPr>
      <w:proofErr w:type="gramStart"/>
      <w:r>
        <w:lastRenderedPageBreak/>
        <w:t>establish</w:t>
      </w:r>
      <w:proofErr w:type="gramEnd"/>
      <w:r>
        <w:t xml:space="preserve"> the Help to</w:t>
      </w:r>
      <w:r w:rsidR="00857CBE">
        <w:t xml:space="preserve"> Buy scheme, to assist people on</w:t>
      </w:r>
      <w:r>
        <w:t xml:space="preserve"> low to moderate incomes to purchase a new or existing home with an equity contribution from the government. This will mean a smaller deposit, a smaller mortgage, and smaller mortgage repayments.</w:t>
      </w:r>
    </w:p>
    <w:p w14:paraId="12CD59F6" w14:textId="50F18AC6" w:rsidR="0059265A" w:rsidRDefault="0059265A" w:rsidP="0059265A">
      <w:pPr>
        <w:pStyle w:val="BulletedList-Level1"/>
      </w:pPr>
      <w:r>
        <w:t xml:space="preserve">The Government introduced the Home Guarantee Scheme in January 2020, which assists people to overcome the deposit hurdle to purchase </w:t>
      </w:r>
      <w:r w:rsidR="00C94EE0">
        <w:t>a</w:t>
      </w:r>
      <w:r>
        <w:t xml:space="preserve"> home. To date, it has supported proportionately more single female buyers (54</w:t>
      </w:r>
      <w:r w:rsidR="008223E6">
        <w:t xml:space="preserve"> per cent</w:t>
      </w:r>
      <w:r>
        <w:t>) relative to the broader first home buyer market (46</w:t>
      </w:r>
      <w:r w:rsidR="00857CBE">
        <w:t> </w:t>
      </w:r>
      <w:r w:rsidR="008223E6">
        <w:t>per</w:t>
      </w:r>
      <w:r w:rsidR="00857CBE">
        <w:t> </w:t>
      </w:r>
      <w:r w:rsidR="008223E6">
        <w:t>cent</w:t>
      </w:r>
      <w:r>
        <w:t>).</w:t>
      </w:r>
      <w:r>
        <w:rPr>
          <w:rStyle w:val="FootnoteReference"/>
        </w:rPr>
        <w:footnoteReference w:id="5"/>
      </w:r>
    </w:p>
    <w:p w14:paraId="6B00E072" w14:textId="26CA2F99" w:rsidR="0059265A" w:rsidRDefault="0059265A" w:rsidP="0059265A">
      <w:pPr>
        <w:pStyle w:val="BulletedList-Level1"/>
      </w:pPr>
      <w:r>
        <w:t>The Family Home Guarantee support</w:t>
      </w:r>
      <w:r w:rsidR="00C94EE0">
        <w:t>s</w:t>
      </w:r>
      <w:r>
        <w:t xml:space="preserve"> eligible single parents with at least one dependent </w:t>
      </w:r>
      <w:r w:rsidR="00C94EE0">
        <w:t xml:space="preserve">to </w:t>
      </w:r>
      <w:r>
        <w:t>purchase a home sooner</w:t>
      </w:r>
      <w:r w:rsidR="00C94EE0">
        <w:t>, with a deposit as little as 2</w:t>
      </w:r>
      <w:r w:rsidR="008223E6">
        <w:t xml:space="preserve"> per cent</w:t>
      </w:r>
      <w:r>
        <w:t>. To date, 84</w:t>
      </w:r>
      <w:r w:rsidR="008223E6">
        <w:t xml:space="preserve"> per cent</w:t>
      </w:r>
      <w:r>
        <w:t xml:space="preserve"> of buyers who purchased a home </w:t>
      </w:r>
      <w:r w:rsidR="00C94EE0">
        <w:t>under this scheme</w:t>
      </w:r>
      <w:r>
        <w:t xml:space="preserve"> were single women with dependent children.</w:t>
      </w:r>
    </w:p>
    <w:p w14:paraId="1AAC6E02" w14:textId="2A7320BD" w:rsidR="00EB44A4" w:rsidRDefault="00EB44A4" w:rsidP="00DA7902">
      <w:pPr>
        <w:pStyle w:val="Heading2"/>
      </w:pPr>
      <w:r>
        <w:t>Homelessness</w:t>
      </w:r>
    </w:p>
    <w:p w14:paraId="3C34E257" w14:textId="33582273" w:rsidR="00EB44A4" w:rsidRPr="00EB44A4" w:rsidRDefault="00EB44A4" w:rsidP="00724A56">
      <w:pPr>
        <w:pStyle w:val="BulletedList-Level1"/>
        <w:rPr>
          <w:b/>
        </w:rPr>
      </w:pPr>
      <w:r w:rsidRPr="00F64CE8">
        <w:t xml:space="preserve">Against </w:t>
      </w:r>
      <w:r w:rsidR="00344BE5">
        <w:t>a</w:t>
      </w:r>
      <w:r w:rsidR="00344BE5" w:rsidRPr="00F64CE8">
        <w:t xml:space="preserve"> </w:t>
      </w:r>
      <w:r w:rsidRPr="00F64CE8">
        <w:t xml:space="preserve">backdrop of </w:t>
      </w:r>
      <w:r w:rsidR="00344BE5">
        <w:t xml:space="preserve">an </w:t>
      </w:r>
      <w:r w:rsidRPr="00F64CE8">
        <w:t xml:space="preserve">ageing population, declining home ownership </w:t>
      </w:r>
      <w:r w:rsidR="00BF5A42">
        <w:t>across all age cohorts</w:t>
      </w:r>
      <w:r w:rsidRPr="00F64CE8">
        <w:t xml:space="preserve">, </w:t>
      </w:r>
      <w:r w:rsidR="00344BE5">
        <w:t xml:space="preserve">and </w:t>
      </w:r>
      <w:r w:rsidRPr="00F64CE8">
        <w:t>continued and accumulative economic disadvantage experienced by women</w:t>
      </w:r>
      <w:r w:rsidR="00344BE5">
        <w:t>,</w:t>
      </w:r>
      <w:r w:rsidRPr="00F64CE8">
        <w:t xml:space="preserve"> the number of women experiencing and at risk of homelessness </w:t>
      </w:r>
      <w:proofErr w:type="gramStart"/>
      <w:r w:rsidRPr="00F64CE8">
        <w:t>is expected</w:t>
      </w:r>
      <w:proofErr w:type="gramEnd"/>
      <w:r w:rsidRPr="00F64CE8">
        <w:t xml:space="preserve"> to continue to increase</w:t>
      </w:r>
      <w:r w:rsidR="002429B0">
        <w:t>.</w:t>
      </w:r>
      <w:r w:rsidRPr="00F64CE8">
        <w:t xml:space="preserve"> </w:t>
      </w:r>
    </w:p>
    <w:p w14:paraId="0360BC9E" w14:textId="0107319C" w:rsidR="00445FD1" w:rsidRDefault="00D14BA5" w:rsidP="00724A56">
      <w:pPr>
        <w:pStyle w:val="BulletedList-Level1"/>
      </w:pPr>
      <w:r>
        <w:t>FDV</w:t>
      </w:r>
      <w:r w:rsidR="00445FD1">
        <w:t xml:space="preserve"> is the leading cause of homelessness for women. Approximately 9,120 women a year become homeless after leaving their homes due to FDV and being unable to secure long</w:t>
      </w:r>
      <w:r w:rsidR="00563A29">
        <w:noBreakHyphen/>
        <w:t>term </w:t>
      </w:r>
      <w:r w:rsidR="00445FD1">
        <w:t>housing.</w:t>
      </w:r>
      <w:r w:rsidR="00130B3E">
        <w:rPr>
          <w:rStyle w:val="FootnoteReference"/>
        </w:rPr>
        <w:footnoteReference w:id="6"/>
      </w:r>
    </w:p>
    <w:p w14:paraId="072F919C" w14:textId="0C1C1C62" w:rsidR="00881BC6" w:rsidRDefault="00936111" w:rsidP="00441FBE">
      <w:pPr>
        <w:pStyle w:val="BulletedList-Level1"/>
      </w:pPr>
      <w:r>
        <w:t>ABS Census data shows that older women were the fastest growing demographic experiencing homelessness, increasing by 31</w:t>
      </w:r>
      <w:r w:rsidR="00EE7415">
        <w:t xml:space="preserve"> per cent</w:t>
      </w:r>
      <w:r>
        <w:t xml:space="preserve"> between 2011 and 2016.</w:t>
      </w:r>
      <w:r w:rsidR="005A270A">
        <w:t xml:space="preserve"> </w:t>
      </w:r>
      <w:r w:rsidR="00881BC6" w:rsidRPr="00BD1FC6">
        <w:t>Per Capita estimates that current trends of homelessness in older women will see 15,000 homeless women aged over 55 by 2030</w:t>
      </w:r>
      <w:r w:rsidR="00881BC6">
        <w:t>.</w:t>
      </w:r>
      <w:r w:rsidR="00412E79">
        <w:rPr>
          <w:rStyle w:val="FootnoteReference"/>
        </w:rPr>
        <w:footnoteReference w:id="7"/>
      </w:r>
      <w:r w:rsidR="00881BC6">
        <w:t xml:space="preserve"> </w:t>
      </w:r>
    </w:p>
    <w:p w14:paraId="03A29223" w14:textId="7DF15EC2" w:rsidR="00EB44A4" w:rsidRDefault="00EB44A4">
      <w:pPr>
        <w:pStyle w:val="BulletedList-Level1"/>
      </w:pPr>
      <w:r w:rsidRPr="00A14664">
        <w:t>Young people make up around 21</w:t>
      </w:r>
      <w:r w:rsidR="00EE7415">
        <w:t xml:space="preserve"> per cent</w:t>
      </w:r>
      <w:r w:rsidRPr="00A14664">
        <w:t xml:space="preserve"> of the homeless population, and while there are similar rates of</w:t>
      </w:r>
      <w:r w:rsidR="00881BC6">
        <w:t xml:space="preserve"> reported</w:t>
      </w:r>
      <w:r w:rsidRPr="00A14664">
        <w:t xml:space="preserve"> homelessness among </w:t>
      </w:r>
      <w:r w:rsidR="00DD17B9">
        <w:t>women and men</w:t>
      </w:r>
      <w:r w:rsidRPr="00A14664">
        <w:t>, there are important intersections between young women’s’ experiences of sexual assault and safe housing. Many young women experiencing homelessness have experienced sexual assault in their home by a perpetrator known to them.</w:t>
      </w:r>
      <w:r>
        <w:rPr>
          <w:rStyle w:val="FootnoteReference"/>
          <w:szCs w:val="20"/>
        </w:rPr>
        <w:footnoteReference w:id="8"/>
      </w:r>
      <w:r w:rsidRPr="00A14664">
        <w:t xml:space="preserve"> </w:t>
      </w:r>
    </w:p>
    <w:p w14:paraId="601364E0" w14:textId="53859337" w:rsidR="00C20A69" w:rsidRPr="00066CE0" w:rsidRDefault="00883AC4" w:rsidP="00175C0D">
      <w:pPr>
        <w:pStyle w:val="BulletedList-Level1"/>
        <w:rPr>
          <w:rFonts w:asciiTheme="majorHAnsi" w:eastAsiaTheme="majorEastAsia" w:hAnsiTheme="majorHAnsi" w:cstheme="majorBidi"/>
          <w:color w:val="1B375C" w:themeColor="accent1"/>
          <w:sz w:val="26"/>
          <w:szCs w:val="22"/>
        </w:rPr>
      </w:pPr>
      <w:r>
        <w:t>Women also experience homelessness differently</w:t>
      </w:r>
      <w:r w:rsidR="00344BE5">
        <w:t xml:space="preserve"> to men</w:t>
      </w:r>
      <w:r>
        <w:t xml:space="preserve">, </w:t>
      </w:r>
      <w:r w:rsidR="00DD17B9">
        <w:t xml:space="preserve">as </w:t>
      </w:r>
      <w:r>
        <w:t xml:space="preserve">they often find themselves at risk of homelessness with children and are likely to be underrepresented in official homelessness statistics. Women are less likely </w:t>
      </w:r>
      <w:r w:rsidR="00881BC6">
        <w:t xml:space="preserve">than men </w:t>
      </w:r>
      <w:r>
        <w:t>to sleep rough, and more likely to stay temporarily with family and friends, access emergency shelter, or sleep in their cars.</w:t>
      </w:r>
      <w:r w:rsidR="007A3379">
        <w:rPr>
          <w:rStyle w:val="FootnoteReference"/>
        </w:rPr>
        <w:footnoteReference w:id="9"/>
      </w:r>
      <w:bookmarkStart w:id="5" w:name="_Toc117067888"/>
      <w:bookmarkStart w:id="6" w:name="_Toc118802176"/>
      <w:bookmarkStart w:id="7" w:name="_Toc116641343"/>
    </w:p>
    <w:p w14:paraId="285A0AAA" w14:textId="707BFFDB" w:rsidR="00C25FD8" w:rsidRPr="00C25FD8" w:rsidRDefault="00C25FD8" w:rsidP="00DA7902">
      <w:pPr>
        <w:pStyle w:val="Heading2"/>
      </w:pPr>
      <w:r w:rsidRPr="00C25FD8">
        <w:lastRenderedPageBreak/>
        <w:t>Crisis and transitional housing</w:t>
      </w:r>
      <w:bookmarkEnd w:id="5"/>
      <w:bookmarkEnd w:id="6"/>
      <w:r w:rsidRPr="00C25FD8">
        <w:t xml:space="preserve"> </w:t>
      </w:r>
      <w:bookmarkEnd w:id="7"/>
    </w:p>
    <w:p w14:paraId="458CEABB" w14:textId="579522AD" w:rsidR="00C25FD8" w:rsidRPr="00F64CE8" w:rsidRDefault="00C25FD8" w:rsidP="001C4857">
      <w:pPr>
        <w:pStyle w:val="BulletedList-Level1"/>
      </w:pPr>
      <w:r w:rsidRPr="00F64CE8">
        <w:t xml:space="preserve">According to </w:t>
      </w:r>
      <w:r>
        <w:t>the</w:t>
      </w:r>
      <w:r w:rsidR="00C3789B">
        <w:t xml:space="preserve"> </w:t>
      </w:r>
      <w:r w:rsidRPr="00F64CE8">
        <w:t>A</w:t>
      </w:r>
      <w:r>
        <w:t>ustralian Institute of Health and Welfare</w:t>
      </w:r>
      <w:r w:rsidRPr="00F64CE8">
        <w:t>:</w:t>
      </w:r>
      <w:r w:rsidRPr="00570DDE">
        <w:rPr>
          <w:rStyle w:val="FootnoteReference"/>
          <w:szCs w:val="20"/>
        </w:rPr>
        <w:t xml:space="preserve"> </w:t>
      </w:r>
      <w:r>
        <w:rPr>
          <w:rStyle w:val="FootnoteReference"/>
          <w:szCs w:val="20"/>
        </w:rPr>
        <w:footnoteReference w:id="10"/>
      </w:r>
    </w:p>
    <w:p w14:paraId="42BA2F2A" w14:textId="40DEB8BB" w:rsidR="00C25FD8" w:rsidRPr="00F64CE8" w:rsidRDefault="00C25FD8">
      <w:pPr>
        <w:pStyle w:val="BulletedList-Level2"/>
        <w:rPr>
          <w:b/>
        </w:rPr>
      </w:pPr>
      <w:r w:rsidRPr="00F64CE8">
        <w:t>Clients in short-term or emergency accommodation are more likely to be female.</w:t>
      </w:r>
      <w:r w:rsidR="00E43796">
        <w:rPr>
          <w:rStyle w:val="FootnoteReference"/>
        </w:rPr>
        <w:footnoteReference w:id="11"/>
      </w:r>
      <w:r w:rsidRPr="00F64CE8">
        <w:rPr>
          <w:b/>
        </w:rPr>
        <w:t xml:space="preserve"> </w:t>
      </w:r>
    </w:p>
    <w:p w14:paraId="7BB03AB7" w14:textId="00B0D2AD" w:rsidR="00C25FD8" w:rsidRPr="00F64CE8" w:rsidRDefault="00C25FD8">
      <w:pPr>
        <w:pStyle w:val="BulletedList-Level2"/>
      </w:pPr>
      <w:r w:rsidRPr="00F64CE8">
        <w:t xml:space="preserve">1 in </w:t>
      </w:r>
      <w:r w:rsidR="00362371">
        <w:t>4</w:t>
      </w:r>
      <w:r w:rsidR="00362371" w:rsidRPr="00F64CE8">
        <w:t xml:space="preserve"> </w:t>
      </w:r>
      <w:r w:rsidR="00362371">
        <w:t xml:space="preserve">SHS </w:t>
      </w:r>
      <w:r w:rsidRPr="00F64CE8">
        <w:t xml:space="preserve">clients </w:t>
      </w:r>
      <w:r w:rsidR="00362371">
        <w:t xml:space="preserve">in June 2022 </w:t>
      </w:r>
      <w:r w:rsidR="00F26365">
        <w:t>were First Nations people and</w:t>
      </w:r>
      <w:r w:rsidR="001A0669">
        <w:t xml:space="preserve"> 16.7</w:t>
      </w:r>
      <w:r w:rsidR="00EE7415">
        <w:t xml:space="preserve"> per cent</w:t>
      </w:r>
      <w:r w:rsidR="001A0669">
        <w:t xml:space="preserve"> of all SHS clients in June 2022 were </w:t>
      </w:r>
      <w:r w:rsidR="007F4245">
        <w:t>First Nation</w:t>
      </w:r>
      <w:r w:rsidR="001A0669">
        <w:t xml:space="preserve"> women.</w:t>
      </w:r>
      <w:r w:rsidR="00F26365">
        <w:rPr>
          <w:rStyle w:val="FootnoteReference"/>
        </w:rPr>
        <w:footnoteReference w:id="12"/>
      </w:r>
    </w:p>
    <w:p w14:paraId="7B8B71DA" w14:textId="1EDF8F03" w:rsidR="00E43796" w:rsidRDefault="00E43796">
      <w:pPr>
        <w:pStyle w:val="BulletedList-Level2"/>
      </w:pPr>
      <w:r>
        <w:t xml:space="preserve">1 in 3 SHS clients </w:t>
      </w:r>
      <w:r w:rsidR="00D65295">
        <w:t xml:space="preserve">in 2020-21 </w:t>
      </w:r>
      <w:r>
        <w:t>were living in single-parent families with one or more children,</w:t>
      </w:r>
      <w:r>
        <w:rPr>
          <w:rStyle w:val="FootnoteReference"/>
        </w:rPr>
        <w:footnoteReference w:id="13"/>
      </w:r>
      <w:r>
        <w:t xml:space="preserve"> </w:t>
      </w:r>
      <w:r w:rsidR="00936111">
        <w:t xml:space="preserve">and </w:t>
      </w:r>
      <w:r w:rsidR="003D5886">
        <w:t>39</w:t>
      </w:r>
      <w:r w:rsidR="00EE7415">
        <w:t xml:space="preserve"> per cent</w:t>
      </w:r>
      <w:r w:rsidR="003D5886">
        <w:t xml:space="preserve"> of </w:t>
      </w:r>
      <w:r w:rsidR="00936111">
        <w:t xml:space="preserve">them </w:t>
      </w:r>
      <w:r w:rsidR="003D5886">
        <w:t>were headed by women (compared with 23</w:t>
      </w:r>
      <w:r w:rsidR="00EE7415">
        <w:t xml:space="preserve"> per cent</w:t>
      </w:r>
      <w:r w:rsidR="003D5886">
        <w:t xml:space="preserve"> of men).</w:t>
      </w:r>
      <w:r w:rsidR="003D5886">
        <w:rPr>
          <w:rStyle w:val="FootnoteReference"/>
        </w:rPr>
        <w:footnoteReference w:id="14"/>
      </w:r>
    </w:p>
    <w:p w14:paraId="509474E6" w14:textId="0153DC18" w:rsidR="003D5886" w:rsidRDefault="003D5886">
      <w:pPr>
        <w:pStyle w:val="BulletedList-Level2"/>
      </w:pPr>
      <w:r>
        <w:t>In 2020</w:t>
      </w:r>
      <w:r w:rsidR="00F26365">
        <w:t>–</w:t>
      </w:r>
      <w:r>
        <w:t>21, the number of SHS clients experiencing FDV increased: 42</w:t>
      </w:r>
      <w:r w:rsidR="00EE7415">
        <w:t xml:space="preserve"> per cent</w:t>
      </w:r>
      <w:r>
        <w:t xml:space="preserve"> of all SHS clients experienced FDV in 2020-21 compared with 114,800 in 2016</w:t>
      </w:r>
      <w:r w:rsidR="00EE7415">
        <w:t>–</w:t>
      </w:r>
      <w:r>
        <w:t>17.</w:t>
      </w:r>
      <w:r>
        <w:rPr>
          <w:rStyle w:val="FootnoteReference"/>
        </w:rPr>
        <w:footnoteReference w:id="15"/>
      </w:r>
      <w:r>
        <w:t xml:space="preserve"> 77</w:t>
      </w:r>
      <w:r w:rsidR="00EE7415">
        <w:t xml:space="preserve"> per cent</w:t>
      </w:r>
      <w:r>
        <w:t xml:space="preserve"> of </w:t>
      </w:r>
      <w:r w:rsidR="007B6F17">
        <w:t xml:space="preserve">these </w:t>
      </w:r>
      <w:r w:rsidR="00B7595B">
        <w:t>clients</w:t>
      </w:r>
      <w:r>
        <w:t xml:space="preserve"> were female</w:t>
      </w:r>
      <w:r w:rsidR="001A0669">
        <w:t xml:space="preserve">, and </w:t>
      </w:r>
      <w:r>
        <w:t>23</w:t>
      </w:r>
      <w:r w:rsidR="00EE7415">
        <w:t xml:space="preserve"> per cent</w:t>
      </w:r>
      <w:r>
        <w:t xml:space="preserve"> were male.</w:t>
      </w:r>
      <w:r w:rsidR="001A0669">
        <w:rPr>
          <w:rStyle w:val="FootnoteReference"/>
        </w:rPr>
        <w:footnoteReference w:id="16"/>
      </w:r>
      <w:r>
        <w:t xml:space="preserve"> </w:t>
      </w:r>
    </w:p>
    <w:p w14:paraId="5910EF76" w14:textId="06D7CD4B" w:rsidR="00C25FD8" w:rsidRDefault="00C25FD8">
      <w:pPr>
        <w:pStyle w:val="BulletedList-Level2"/>
      </w:pPr>
      <w:r w:rsidRPr="00F64CE8">
        <w:t>The largest gap in accommodation service provision for persistent service users is meeting long</w:t>
      </w:r>
      <w:r w:rsidRPr="004B5B2E">
        <w:t>-</w:t>
      </w:r>
      <w:r w:rsidRPr="00F64CE8">
        <w:t>term housing needs.</w:t>
      </w:r>
      <w:r w:rsidR="001A0669">
        <w:rPr>
          <w:rStyle w:val="FootnoteReference"/>
        </w:rPr>
        <w:footnoteReference w:id="17"/>
      </w:r>
    </w:p>
    <w:p w14:paraId="5F3CEE06" w14:textId="77D2D113" w:rsidR="00936111" w:rsidRPr="00A14664" w:rsidRDefault="00936111">
      <w:pPr>
        <w:pStyle w:val="BulletedList-Level1"/>
      </w:pPr>
      <w:r>
        <w:t>The</w:t>
      </w:r>
      <w:r w:rsidRPr="00A14664">
        <w:t xml:space="preserve"> use of Specialist Homelessness Services (SHS) </w:t>
      </w:r>
      <w:r>
        <w:t xml:space="preserve">by disadvantaged and marginalised groups </w:t>
      </w:r>
      <w:r w:rsidRPr="00A14664">
        <w:t>is increasing above the broader population average</w:t>
      </w:r>
      <w:r>
        <w:t>. T</w:t>
      </w:r>
      <w:r w:rsidRPr="00A14664">
        <w:t>he overall number of people seeking SHS assistance increased on average by 1.8</w:t>
      </w:r>
      <w:r w:rsidR="00EE7415">
        <w:t xml:space="preserve"> per cent</w:t>
      </w:r>
      <w:r w:rsidRPr="00A14664">
        <w:t xml:space="preserve"> per year between 2011–12 and 2020–21</w:t>
      </w:r>
      <w:r>
        <w:t xml:space="preserve">, whereas </w:t>
      </w:r>
      <w:r w:rsidRPr="00A14664">
        <w:t>over the same period:</w:t>
      </w:r>
      <w:r w:rsidRPr="003C053D">
        <w:rPr>
          <w:rStyle w:val="FootnoteReference"/>
          <w:szCs w:val="20"/>
        </w:rPr>
        <w:t xml:space="preserve"> </w:t>
      </w:r>
      <w:r>
        <w:rPr>
          <w:rStyle w:val="FootnoteReference"/>
          <w:szCs w:val="20"/>
        </w:rPr>
        <w:footnoteReference w:id="18"/>
      </w:r>
    </w:p>
    <w:p w14:paraId="4E8C2A51" w14:textId="6E27363B" w:rsidR="00936111" w:rsidRPr="00A14664" w:rsidRDefault="00936111">
      <w:pPr>
        <w:pStyle w:val="BulletedList-Level2"/>
      </w:pPr>
      <w:r w:rsidRPr="00A14664">
        <w:t>the number of SHS clients identifying as Aboriginal and Torres Strait Islander peoples increased by an average of 5.9</w:t>
      </w:r>
      <w:r w:rsidR="00EE7415">
        <w:t xml:space="preserve"> per cent</w:t>
      </w:r>
      <w:r w:rsidRPr="00A14664">
        <w:t xml:space="preserve"> each year, which is three times faster than the SHS population.</w:t>
      </w:r>
    </w:p>
    <w:p w14:paraId="1FEB73B1" w14:textId="6778190C" w:rsidR="00936111" w:rsidRPr="00B712F6" w:rsidRDefault="00936111" w:rsidP="001C4857">
      <w:pPr>
        <w:pStyle w:val="BulletedList-Level2"/>
      </w:pPr>
      <w:proofErr w:type="gramStart"/>
      <w:r w:rsidRPr="00A14664">
        <w:t>the</w:t>
      </w:r>
      <w:proofErr w:type="gramEnd"/>
      <w:r w:rsidRPr="00A14664">
        <w:t xml:space="preserve"> number of SHS clients aged 55 and above increased by an average of 5.8</w:t>
      </w:r>
      <w:r w:rsidR="00EE7415">
        <w:t xml:space="preserve"> per cent</w:t>
      </w:r>
      <w:r w:rsidRPr="00A14664">
        <w:t xml:space="preserve"> each year, </w:t>
      </w:r>
      <w:r>
        <w:t xml:space="preserve">which is </w:t>
      </w:r>
      <w:r w:rsidRPr="00A14664">
        <w:t xml:space="preserve">three times faster than the SHS population. </w:t>
      </w:r>
    </w:p>
    <w:p w14:paraId="79BF65AB" w14:textId="204C518A" w:rsidR="00C25FD8" w:rsidRPr="00D214F6" w:rsidRDefault="00C25FD8" w:rsidP="00DA7902">
      <w:pPr>
        <w:pStyle w:val="Heading2"/>
      </w:pPr>
      <w:bookmarkStart w:id="8" w:name="_Toc116641344"/>
      <w:bookmarkStart w:id="9" w:name="_Toc117067889"/>
      <w:bookmarkStart w:id="10" w:name="_Toc118802177"/>
      <w:r w:rsidRPr="00D214F6">
        <w:lastRenderedPageBreak/>
        <w:t xml:space="preserve">Social </w:t>
      </w:r>
      <w:r w:rsidR="00D12E1C">
        <w:t xml:space="preserve">and affordable </w:t>
      </w:r>
      <w:r w:rsidRPr="00D214F6">
        <w:t>housing</w:t>
      </w:r>
      <w:bookmarkEnd w:id="8"/>
      <w:bookmarkEnd w:id="9"/>
      <w:bookmarkEnd w:id="10"/>
      <w:r w:rsidRPr="00D214F6">
        <w:t xml:space="preserve"> </w:t>
      </w:r>
    </w:p>
    <w:p w14:paraId="3EAC4F3A" w14:textId="77777777" w:rsidR="00C25FD8" w:rsidRPr="00F64CE8" w:rsidRDefault="00D12E1C" w:rsidP="001C4857">
      <w:pPr>
        <w:pStyle w:val="BulletedList-Level1"/>
      </w:pPr>
      <w:r>
        <w:t xml:space="preserve">The </w:t>
      </w:r>
      <w:r w:rsidR="00C25FD8" w:rsidRPr="00F64CE8">
        <w:t>A</w:t>
      </w:r>
      <w:r w:rsidR="00C25FD8">
        <w:t>ustralian Human Right</w:t>
      </w:r>
      <w:r>
        <w:t>s</w:t>
      </w:r>
      <w:r w:rsidR="00C25FD8">
        <w:t xml:space="preserve"> Commission </w:t>
      </w:r>
      <w:r w:rsidR="00C25FD8" w:rsidRPr="00F64CE8">
        <w:t>estimates that there is a deficit of 651,300 social and affordable homes in Australia and it may reach 1,024,000 by 2036, based on rental stress numbers in the 2016 census.</w:t>
      </w:r>
      <w:r w:rsidR="00C25FD8" w:rsidRPr="00AB7022">
        <w:rPr>
          <w:vertAlign w:val="superscript"/>
        </w:rPr>
        <w:footnoteReference w:id="19"/>
      </w:r>
    </w:p>
    <w:p w14:paraId="73683284" w14:textId="46DD04A1" w:rsidR="00C25FD8" w:rsidRPr="00F64CE8" w:rsidRDefault="00C25FD8" w:rsidP="00EE7415">
      <w:pPr>
        <w:pStyle w:val="BulletedList-Level2"/>
      </w:pPr>
      <w:r w:rsidRPr="00F64CE8">
        <w:t>Women make up the majority of all occupants, and older occupants, in public and community housing. During 2019–20, females accounted for 59</w:t>
      </w:r>
      <w:r w:rsidR="00EE7415">
        <w:t xml:space="preserve"> per cent</w:t>
      </w:r>
      <w:r w:rsidRPr="00F64CE8">
        <w:t xml:space="preserve"> of public housing and 59</w:t>
      </w:r>
      <w:r w:rsidR="00EE7415">
        <w:t xml:space="preserve"> per cent</w:t>
      </w:r>
      <w:r w:rsidRPr="00F64CE8">
        <w:t xml:space="preserve"> of community housing occupants aged 65 and over.</w:t>
      </w:r>
      <w:r w:rsidRPr="00AB7022">
        <w:rPr>
          <w:vertAlign w:val="superscript"/>
        </w:rPr>
        <w:footnoteReference w:id="20"/>
      </w:r>
    </w:p>
    <w:p w14:paraId="7F66F8F8" w14:textId="5CDDCC29" w:rsidR="00C25FD8" w:rsidRPr="00A14664" w:rsidRDefault="00C25FD8" w:rsidP="00EE7415">
      <w:pPr>
        <w:pStyle w:val="BulletedList-Level2"/>
      </w:pPr>
      <w:r w:rsidRPr="00A14664">
        <w:t>Indigenous specific housing comprises 6.9</w:t>
      </w:r>
      <w:r w:rsidR="00EE7415">
        <w:t xml:space="preserve"> per cent</w:t>
      </w:r>
      <w:r w:rsidRPr="00A14664">
        <w:t xml:space="preserve"> of all social housing dwellings. As of June 2020, around 14.7</w:t>
      </w:r>
      <w:r w:rsidR="00EE7415">
        <w:t xml:space="preserve"> per cent</w:t>
      </w:r>
      <w:r w:rsidRPr="00A14664">
        <w:t xml:space="preserve"> of all social housing households included an Indigenous member.</w:t>
      </w:r>
      <w:r w:rsidRPr="00AB7022">
        <w:rPr>
          <w:vertAlign w:val="superscript"/>
        </w:rPr>
        <w:footnoteReference w:id="21"/>
      </w:r>
    </w:p>
    <w:p w14:paraId="2C6A4E96" w14:textId="5379A5BF" w:rsidR="00C25FD8" w:rsidRDefault="00C25FD8" w:rsidP="00EE7415">
      <w:pPr>
        <w:pStyle w:val="BulletedList-Level2"/>
      </w:pPr>
      <w:r w:rsidRPr="00A14664">
        <w:t>Despite an increase in the net supply of social housing dwellings between 2017 and 2021 of 3,975 dwellings, Indigenous specific housing has fallen by 1,184 dwellings over the same period.</w:t>
      </w:r>
      <w:r w:rsidRPr="00AB7022">
        <w:rPr>
          <w:vertAlign w:val="superscript"/>
        </w:rPr>
        <w:footnoteReference w:id="22"/>
      </w:r>
      <w:r w:rsidRPr="007439A0">
        <w:rPr>
          <w:vertAlign w:val="superscript"/>
        </w:rPr>
        <w:t xml:space="preserve"> </w:t>
      </w:r>
    </w:p>
    <w:p w14:paraId="7CD8679A" w14:textId="426341D7" w:rsidR="000A1C9F" w:rsidRPr="00A14664" w:rsidRDefault="000A1C9F" w:rsidP="00EE7415">
      <w:pPr>
        <w:pStyle w:val="BulletedList-Level2"/>
      </w:pPr>
      <w:r>
        <w:t>In 1986, the Women’s Business Report identified a number of key issues and barriers frustrating First Nations women’s realisation of housing in Australia, which included a chronic shortage of housing and severe overcrowding; inappropriate design and size of houses for First Nations families; a low standard of maintenance on existing housing; and long waiting lists for social housing. These barriers remain the same more than 30 years later.</w:t>
      </w:r>
      <w:r w:rsidRPr="00AB7022">
        <w:rPr>
          <w:vertAlign w:val="superscript"/>
        </w:rPr>
        <w:footnoteReference w:id="23"/>
      </w:r>
    </w:p>
    <w:p w14:paraId="05559A27" w14:textId="77777777" w:rsidR="00C25FD8" w:rsidRPr="00A14664" w:rsidRDefault="00C25FD8" w:rsidP="00EE7415">
      <w:pPr>
        <w:pStyle w:val="BulletedList-Level2"/>
      </w:pPr>
      <w:r w:rsidRPr="00A14664">
        <w:t>Early work with linked data (during the pilot phase of the National Disability Data Asset) shows that people with disability are disproportionately reliant on public and social housing.</w:t>
      </w:r>
      <w:r w:rsidRPr="00AB7022">
        <w:rPr>
          <w:vertAlign w:val="superscript"/>
        </w:rPr>
        <w:footnoteReference w:id="24"/>
      </w:r>
    </w:p>
    <w:p w14:paraId="579E6669" w14:textId="79B7E10D" w:rsidR="00D12E1C" w:rsidRDefault="00C25FD8" w:rsidP="00EE7415">
      <w:pPr>
        <w:pStyle w:val="BulletedList-Level2"/>
      </w:pPr>
      <w:r w:rsidRPr="00A14664">
        <w:t>Inappropriate</w:t>
      </w:r>
      <w:r w:rsidR="00DB7951">
        <w:t xml:space="preserve"> </w:t>
      </w:r>
      <w:r w:rsidR="00F53BEE">
        <w:t>or</w:t>
      </w:r>
      <w:r w:rsidR="00DB7951">
        <w:t xml:space="preserve"> </w:t>
      </w:r>
      <w:r w:rsidRPr="00A14664">
        <w:t>non-accessible housing extends waiting times for people with disability. This is a particular challenge for people with disability who are medically ready to be discharged from hospital, but unavailability of accessible housing may result in them staying in hospital for longer than required.</w:t>
      </w:r>
    </w:p>
    <w:p w14:paraId="1E419926" w14:textId="5B0CB7CB" w:rsidR="00066CE0" w:rsidRDefault="00066CE0" w:rsidP="00175C0D">
      <w:pPr>
        <w:pStyle w:val="BulletedList-Level1"/>
      </w:pPr>
      <w:r>
        <w:t xml:space="preserve">The statutory review into the operation of the </w:t>
      </w:r>
      <w:r w:rsidRPr="0059265A">
        <w:rPr>
          <w:i/>
        </w:rPr>
        <w:t>National Housing Finance and Investment Corporation Act 2018</w:t>
      </w:r>
      <w:r>
        <w:t xml:space="preserve"> (NHFIC Act) estimates that a total capital investment of around $290 billion will be required over the next two decades to meet the current and projected shortfall of social and affordable housing dwellings.</w:t>
      </w:r>
      <w:r w:rsidR="00965A5E">
        <w:t xml:space="preserve"> The review also found that NHFIC cannot alone fill the social and affordable housing gap, and that a vibrant private financing market is needed.</w:t>
      </w:r>
      <w:r w:rsidR="00E86D88" w:rsidRPr="00175C0D">
        <w:rPr>
          <w:vertAlign w:val="superscript"/>
        </w:rPr>
        <w:footnoteReference w:id="25"/>
      </w:r>
    </w:p>
    <w:p w14:paraId="4836D964" w14:textId="50AC5758" w:rsidR="00C25FD8" w:rsidRPr="00D214F6" w:rsidRDefault="00D12E1C" w:rsidP="00DA7902">
      <w:pPr>
        <w:pStyle w:val="Heading2"/>
      </w:pPr>
      <w:bookmarkStart w:id="11" w:name="_Toc116641345"/>
      <w:bookmarkStart w:id="12" w:name="_Toc117067890"/>
      <w:bookmarkStart w:id="13" w:name="_Toc118802178"/>
      <w:r>
        <w:lastRenderedPageBreak/>
        <w:t>P</w:t>
      </w:r>
      <w:r w:rsidR="00C25FD8" w:rsidRPr="00D214F6">
        <w:t>rivate rental</w:t>
      </w:r>
      <w:bookmarkEnd w:id="11"/>
      <w:bookmarkEnd w:id="12"/>
      <w:bookmarkEnd w:id="13"/>
    </w:p>
    <w:p w14:paraId="1C63560D" w14:textId="0874EF21" w:rsidR="00DA6D47" w:rsidRDefault="00DA6D47" w:rsidP="00EF3580">
      <w:pPr>
        <w:pStyle w:val="BulletedList-Level1"/>
      </w:pPr>
      <w:r>
        <w:t xml:space="preserve">Since 2021, rental vacancies and rent prices are seeing a rapid divergence. Average rental prices are increasing by over $100 on average and rental vacancies are hitting historic lows. </w:t>
      </w:r>
      <w:proofErr w:type="spellStart"/>
      <w:r>
        <w:t>CoreLogic</w:t>
      </w:r>
      <w:proofErr w:type="spellEnd"/>
      <w:r>
        <w:t xml:space="preserve"> data shows regional rents have risen by over 25</w:t>
      </w:r>
      <w:r w:rsidR="008223E6">
        <w:t xml:space="preserve"> per cent</w:t>
      </w:r>
      <w:r w:rsidR="004D0B8E">
        <w:t xml:space="preserve"> and capital city rents a</w:t>
      </w:r>
      <w:r>
        <w:t>re up by 18</w:t>
      </w:r>
      <w:r w:rsidR="004D0B8E">
        <w:t> per c</w:t>
      </w:r>
      <w:r w:rsidR="008223E6">
        <w:t>ent</w:t>
      </w:r>
      <w:r>
        <w:t xml:space="preserve"> since the onset of the pandemic.</w:t>
      </w:r>
      <w:r>
        <w:rPr>
          <w:rStyle w:val="FootnoteReference"/>
        </w:rPr>
        <w:footnoteReference w:id="26"/>
      </w:r>
      <w:r>
        <w:t xml:space="preserve"> Rental price pressures coupled with near record low in rental vacancy rates continue to reduce rental affordability and add to rental stress.</w:t>
      </w:r>
    </w:p>
    <w:p w14:paraId="2C3F790E" w14:textId="584135A6" w:rsidR="00C25FD8" w:rsidRPr="00F64CE8" w:rsidRDefault="00C25FD8" w:rsidP="006F4E9D">
      <w:pPr>
        <w:pStyle w:val="BulletedList-Level1"/>
      </w:pPr>
      <w:r w:rsidRPr="00F64CE8">
        <w:t>Poor rental affordability is a driver of disadvantage.</w:t>
      </w:r>
      <w:r>
        <w:rPr>
          <w:rStyle w:val="FootnoteReference"/>
          <w:szCs w:val="20"/>
        </w:rPr>
        <w:footnoteReference w:id="27"/>
      </w:r>
      <w:r w:rsidRPr="00F64CE8">
        <w:t xml:space="preserve"> </w:t>
      </w:r>
      <w:r w:rsidR="006F4E9D" w:rsidRPr="006F4E9D">
        <w:t>An increasing number of low-income households are facing heavy rent burdens as they spend a higher proportion of their income on rent than the median renter.</w:t>
      </w:r>
      <w:r w:rsidR="006F4E9D">
        <w:t xml:space="preserve"> </w:t>
      </w:r>
      <w:r w:rsidRPr="00F64CE8">
        <w:t>There are a little over one million households in the private rental market who fall in the bottom 40</w:t>
      </w:r>
      <w:r w:rsidR="00EE7415">
        <w:t xml:space="preserve"> per cent</w:t>
      </w:r>
      <w:r w:rsidR="007D5F4A">
        <w:t xml:space="preserve"> </w:t>
      </w:r>
      <w:r w:rsidRPr="00F64CE8">
        <w:t>of the (</w:t>
      </w:r>
      <w:proofErr w:type="spellStart"/>
      <w:r w:rsidRPr="00F64CE8">
        <w:t>equivalised</w:t>
      </w:r>
      <w:proofErr w:type="spellEnd"/>
      <w:r w:rsidRPr="00F64CE8">
        <w:t xml:space="preserve"> household) income distribution. </w:t>
      </w:r>
    </w:p>
    <w:p w14:paraId="1A13E408" w14:textId="7249DEE9" w:rsidR="00C25FD8" w:rsidRPr="00F64CE8" w:rsidRDefault="00C25FD8">
      <w:pPr>
        <w:pStyle w:val="BulletedList-Level2"/>
      </w:pPr>
      <w:r w:rsidRPr="00F64CE8">
        <w:t>On average, people in these low income households spend almost 40</w:t>
      </w:r>
      <w:r w:rsidR="00EE7415">
        <w:t xml:space="preserve"> per cent</w:t>
      </w:r>
      <w:r w:rsidRPr="00F64CE8">
        <w:t xml:space="preserve"> of their disposable income on rent. This is nearly double the level of other households, and it has been steady at this level for the past two decades.</w:t>
      </w:r>
      <w:r w:rsidRPr="00F64CE8">
        <w:rPr>
          <w:rStyle w:val="FootnoteReference"/>
        </w:rPr>
        <w:footnoteReference w:id="28"/>
      </w:r>
    </w:p>
    <w:p w14:paraId="081FC780" w14:textId="7DA438AE" w:rsidR="00C25FD8" w:rsidRPr="00F64CE8" w:rsidRDefault="00C25FD8">
      <w:pPr>
        <w:pStyle w:val="BulletedList-Level2"/>
      </w:pPr>
      <w:r w:rsidRPr="00F64CE8">
        <w:t>Two-thirds of these households experience rental stress, meaning that they spend more than 30</w:t>
      </w:r>
      <w:r w:rsidR="00EE7415">
        <w:t xml:space="preserve"> per cent</w:t>
      </w:r>
      <w:r w:rsidRPr="00F64CE8">
        <w:t xml:space="preserve"> of their disposable income on rent. A quarter of these households spend over half their income on rent.</w:t>
      </w:r>
      <w:r w:rsidRPr="00F64CE8">
        <w:rPr>
          <w:rStyle w:val="FootnoteReference"/>
        </w:rPr>
        <w:t xml:space="preserve"> </w:t>
      </w:r>
      <w:r w:rsidRPr="00F64CE8">
        <w:rPr>
          <w:rStyle w:val="FootnoteReference"/>
        </w:rPr>
        <w:footnoteReference w:id="29"/>
      </w:r>
    </w:p>
    <w:p w14:paraId="46351CA4" w14:textId="53EA4160" w:rsidR="00C25FD8" w:rsidRPr="004B5B2E" w:rsidRDefault="00C25FD8" w:rsidP="00EE7415">
      <w:pPr>
        <w:pStyle w:val="BulletedList-Level1"/>
        <w:rPr>
          <w:b/>
        </w:rPr>
      </w:pPr>
      <w:r w:rsidRPr="00F64CE8">
        <w:t xml:space="preserve">Housing affordability and security substantially </w:t>
      </w:r>
      <w:r w:rsidR="00BF74D1">
        <w:t>impacts</w:t>
      </w:r>
      <w:r w:rsidR="00BF74D1" w:rsidRPr="00F64CE8">
        <w:t xml:space="preserve"> </w:t>
      </w:r>
      <w:r w:rsidRPr="00F64CE8">
        <w:t xml:space="preserve">quality of life for women living </w:t>
      </w:r>
      <w:r w:rsidR="00911CFD">
        <w:t xml:space="preserve">in </w:t>
      </w:r>
      <w:r w:rsidRPr="00F64CE8">
        <w:t>private rentals.</w:t>
      </w:r>
      <w:r w:rsidRPr="00F64CE8">
        <w:rPr>
          <w:rStyle w:val="FootnoteReference"/>
        </w:rPr>
        <w:footnoteReference w:id="30"/>
      </w:r>
      <w:r w:rsidRPr="00F64CE8">
        <w:t xml:space="preserve"> Women report challenges finding affordable and appropriate housing, and also a rental experience characterised by rental insecurity. Living in an insecure housing sector has financial, physical and </w:t>
      </w:r>
      <w:r w:rsidR="00911CFD">
        <w:t xml:space="preserve">mental health and </w:t>
      </w:r>
      <w:r w:rsidRPr="00F64CE8">
        <w:t xml:space="preserve">emotional costs. </w:t>
      </w:r>
    </w:p>
    <w:p w14:paraId="7E98A0AF" w14:textId="45ECB7A5" w:rsidR="00C25FD8" w:rsidRPr="00F64CE8" w:rsidRDefault="00187C1C" w:rsidP="00EE7415">
      <w:pPr>
        <w:pStyle w:val="BulletedList-Level1"/>
      </w:pPr>
      <w:r>
        <w:t>A s</w:t>
      </w:r>
      <w:r w:rsidR="00C25FD8" w:rsidRPr="00F64CE8">
        <w:t>tudy has shown 18</w:t>
      </w:r>
      <w:r w:rsidR="00EE7415">
        <w:t xml:space="preserve"> per cent</w:t>
      </w:r>
      <w:r w:rsidR="00C25FD8" w:rsidRPr="00F64CE8">
        <w:t xml:space="preserve"> of single older women are renting and 45</w:t>
      </w:r>
      <w:r w:rsidR="00EE7415">
        <w:t xml:space="preserve"> per cent</w:t>
      </w:r>
      <w:r w:rsidR="00C25FD8" w:rsidRPr="00F64CE8">
        <w:t xml:space="preserve"> of older women who rent spent more than 30</w:t>
      </w:r>
      <w:r w:rsidR="00EE7415">
        <w:t xml:space="preserve"> per cent</w:t>
      </w:r>
      <w:r w:rsidR="00C25FD8" w:rsidRPr="00F64CE8">
        <w:t xml:space="preserve"> of their income on rent.</w:t>
      </w:r>
      <w:r w:rsidR="00C25FD8" w:rsidRPr="00F64CE8">
        <w:rPr>
          <w:rStyle w:val="FootnoteReference"/>
        </w:rPr>
        <w:footnoteReference w:id="31"/>
      </w:r>
    </w:p>
    <w:p w14:paraId="1DBBAB4F" w14:textId="6ED3972D" w:rsidR="00EB44A4" w:rsidRDefault="00C25FD8" w:rsidP="00EE7415">
      <w:pPr>
        <w:pStyle w:val="BulletedList-Level1"/>
      </w:pPr>
      <w:r w:rsidRPr="00F64CE8">
        <w:t>The number of older Australians who rent is projected to increase over the next decade due to declining home ownership and growing mortgage debt.</w:t>
      </w:r>
      <w:r>
        <w:rPr>
          <w:rStyle w:val="FootnoteReference"/>
          <w:szCs w:val="20"/>
        </w:rPr>
        <w:footnoteReference w:id="32"/>
      </w:r>
    </w:p>
    <w:p w14:paraId="79302585" w14:textId="4F2C8AD6" w:rsidR="00C036DF" w:rsidRDefault="00C036DF" w:rsidP="00EE7415">
      <w:pPr>
        <w:pStyle w:val="BulletedList-Level1"/>
      </w:pPr>
      <w:r>
        <w:t>Although discrimination on the basis of age, disability, race, sex or other protected attributes is illegal, some people continue to experience discrimination in the private rental market.</w:t>
      </w:r>
      <w:r>
        <w:rPr>
          <w:rStyle w:val="FootnoteReference"/>
        </w:rPr>
        <w:footnoteReference w:id="33"/>
      </w:r>
    </w:p>
    <w:p w14:paraId="43CEB43F" w14:textId="0DF88918" w:rsidR="00C036DF" w:rsidRDefault="00C036DF" w:rsidP="00EE7415">
      <w:pPr>
        <w:pStyle w:val="BulletedList-Level1"/>
      </w:pPr>
      <w:r>
        <w:lastRenderedPageBreak/>
        <w:t xml:space="preserve">While socio-economic status is a key category of discrimination in the private rental sector, experiences vary for people with diverse and intersecting experiences, and particularly older people, </w:t>
      </w:r>
      <w:r w:rsidR="006825CB">
        <w:t>migrants and refugees</w:t>
      </w:r>
      <w:r>
        <w:t xml:space="preserve">, </w:t>
      </w:r>
      <w:r w:rsidR="006825CB">
        <w:t xml:space="preserve">diverse </w:t>
      </w:r>
      <w:r>
        <w:t>women, LGBTIQA+ people, and people with disability.</w:t>
      </w:r>
      <w:r>
        <w:rPr>
          <w:rStyle w:val="FootnoteReference"/>
        </w:rPr>
        <w:footnoteReference w:id="34"/>
      </w:r>
      <w:r w:rsidRPr="002B6DDC">
        <w:t xml:space="preserve"> </w:t>
      </w:r>
    </w:p>
    <w:p w14:paraId="6BE59C84" w14:textId="7C220BC9" w:rsidR="00C036DF" w:rsidRDefault="006825CB">
      <w:pPr>
        <w:pStyle w:val="BulletedList-Level2"/>
      </w:pPr>
      <w:r>
        <w:t>The issues</w:t>
      </w:r>
      <w:r w:rsidR="00C036DF">
        <w:t xml:space="preserve"> of unaffordable rents, unhealthy housing, and insecure tenure compound the impacts of discrimination and disadvantage for marginalised tenants. </w:t>
      </w:r>
    </w:p>
    <w:p w14:paraId="62B266AB" w14:textId="360EEE4A" w:rsidR="00C036DF" w:rsidRDefault="00C036DF" w:rsidP="001C4857">
      <w:pPr>
        <w:pStyle w:val="BulletedList-Level2"/>
      </w:pPr>
      <w:r>
        <w:t>Renters of lower socio-economic status experience discrimination across the life course, and so do students, single mothers, older single renters, and families with children, on the assumption of a low socio-economic status.</w:t>
      </w:r>
      <w:r w:rsidRPr="001C4857">
        <w:rPr>
          <w:vertAlign w:val="superscript"/>
        </w:rPr>
        <w:footnoteReference w:id="35"/>
      </w:r>
      <w:r w:rsidRPr="00FC2A9F">
        <w:t xml:space="preserve"> </w:t>
      </w:r>
      <w:r>
        <w:t>People who have experienced FDV</w:t>
      </w:r>
      <w:r w:rsidR="00BF74D1">
        <w:t xml:space="preserve"> </w:t>
      </w:r>
      <w:r>
        <w:t>also experience discrimination.</w:t>
      </w:r>
      <w:r w:rsidRPr="001C4857">
        <w:rPr>
          <w:vertAlign w:val="superscript"/>
        </w:rPr>
        <w:footnoteReference w:id="36"/>
      </w:r>
    </w:p>
    <w:p w14:paraId="51E85E9A" w14:textId="77777777" w:rsidR="00D433D6" w:rsidRDefault="00C036DF" w:rsidP="001C4857">
      <w:pPr>
        <w:pStyle w:val="BulletedList-Level2"/>
      </w:pPr>
      <w:r>
        <w:t>Discrimination is also significant issue for First Nations people, members of established ethnic minority groups, and new migrants and refugees in Australia.</w:t>
      </w:r>
      <w:r w:rsidRPr="001C4857">
        <w:rPr>
          <w:vertAlign w:val="superscript"/>
        </w:rPr>
        <w:footnoteReference w:id="37"/>
      </w:r>
      <w:r w:rsidRPr="001C4857">
        <w:rPr>
          <w:vertAlign w:val="superscript"/>
        </w:rPr>
        <w:t xml:space="preserve"> </w:t>
      </w:r>
    </w:p>
    <w:p w14:paraId="71198B8E" w14:textId="68A5DF71" w:rsidR="00C036DF" w:rsidRPr="001C4857" w:rsidRDefault="00F92923" w:rsidP="001C4857">
      <w:pPr>
        <w:pStyle w:val="BulletedList-Level2"/>
        <w:rPr>
          <w:vertAlign w:val="superscript"/>
        </w:rPr>
      </w:pPr>
      <w:r>
        <w:t xml:space="preserve">Discrimination and racial stereotyping can be a barrier to obtaining suitable rental housing, with material impacts on </w:t>
      </w:r>
      <w:r w:rsidR="00D433D6">
        <w:t>First Nations peoples’</w:t>
      </w:r>
      <w:r>
        <w:t xml:space="preserve"> health and wellbeing.</w:t>
      </w:r>
      <w:r w:rsidRPr="001C4857">
        <w:rPr>
          <w:vertAlign w:val="superscript"/>
        </w:rPr>
        <w:footnoteReference w:id="38"/>
      </w:r>
    </w:p>
    <w:p w14:paraId="5E170761" w14:textId="4E253FEA" w:rsidR="002E7588" w:rsidRDefault="002E7588" w:rsidP="00EE7415">
      <w:pPr>
        <w:pStyle w:val="BulletedList-Level1"/>
      </w:pPr>
      <w:r>
        <w:t>Precarious tenancies are also a key issue for renters, impact</w:t>
      </w:r>
      <w:r w:rsidR="00911CFD">
        <w:t>ing</w:t>
      </w:r>
      <w:r>
        <w:t xml:space="preserve"> on peoples’ wellbeing.</w:t>
      </w:r>
      <w:r>
        <w:rPr>
          <w:rStyle w:val="FootnoteReference"/>
        </w:rPr>
        <w:footnoteReference w:id="39"/>
      </w:r>
      <w:r w:rsidR="00DB7951">
        <w:t xml:space="preserve"> </w:t>
      </w:r>
      <w:r>
        <w:t>Young single mothers identified a link between precarious housing and generalised stress, anxiety and depression, impacting their parenting capacity and ability to participate in employment, education, training and the general community.</w:t>
      </w:r>
      <w:r>
        <w:rPr>
          <w:rStyle w:val="FootnoteReference"/>
        </w:rPr>
        <w:footnoteReference w:id="40"/>
      </w:r>
      <w:r w:rsidR="000E5C44">
        <w:t xml:space="preserve"> </w:t>
      </w:r>
    </w:p>
    <w:p w14:paraId="3E79D495" w14:textId="517A7DC4" w:rsidR="002E7588" w:rsidRPr="001C4857" w:rsidRDefault="000E5C44" w:rsidP="001C4857">
      <w:pPr>
        <w:pStyle w:val="BulletedList-Level2"/>
      </w:pPr>
      <w:r>
        <w:t xml:space="preserve">Single, older, non-home-owning women also experience </w:t>
      </w:r>
      <w:proofErr w:type="spellStart"/>
      <w:r>
        <w:t>precarity</w:t>
      </w:r>
      <w:proofErr w:type="spellEnd"/>
      <w:r>
        <w:t xml:space="preserve"> of tenure, and increased anxiety from threats to continuity of housing.</w:t>
      </w:r>
      <w:r w:rsidRPr="001C4857">
        <w:rPr>
          <w:vertAlign w:val="superscript"/>
        </w:rPr>
        <w:footnoteReference w:id="41"/>
      </w:r>
      <w:r w:rsidR="00C20B58" w:rsidRPr="001C4857">
        <w:rPr>
          <w:vertAlign w:val="superscript"/>
        </w:rPr>
        <w:t xml:space="preserve"> </w:t>
      </w:r>
    </w:p>
    <w:p w14:paraId="299AAB77" w14:textId="75D85749" w:rsidR="00730855" w:rsidRPr="00D214F6" w:rsidRDefault="00730855" w:rsidP="00DA7902">
      <w:pPr>
        <w:pStyle w:val="Heading2"/>
      </w:pPr>
      <w:r>
        <w:t xml:space="preserve">Home </w:t>
      </w:r>
      <w:r w:rsidR="00B90C29">
        <w:t>o</w:t>
      </w:r>
      <w:r>
        <w:t>wnership</w:t>
      </w:r>
    </w:p>
    <w:p w14:paraId="5E5C391E" w14:textId="7CFCE699" w:rsidR="004E77D9" w:rsidRPr="00175C0D" w:rsidRDefault="004E77D9" w:rsidP="00DA7902">
      <w:pPr>
        <w:pStyle w:val="Heading3"/>
      </w:pPr>
      <w:r w:rsidRPr="00175C0D">
        <w:t>Rates of home ownership</w:t>
      </w:r>
    </w:p>
    <w:p w14:paraId="311368A0" w14:textId="3C2AC0E7" w:rsidR="008258CF" w:rsidRDefault="00790994" w:rsidP="00EE7415">
      <w:pPr>
        <w:pStyle w:val="BulletedList-Level1"/>
      </w:pPr>
      <w:r>
        <w:t xml:space="preserve">Home ownership </w:t>
      </w:r>
      <w:r w:rsidR="00BF5A42">
        <w:t xml:space="preserve">rates have declined across all age cohorts </w:t>
      </w:r>
      <w:r w:rsidR="00C55DBD">
        <w:t xml:space="preserve">in Australia </w:t>
      </w:r>
      <w:r w:rsidR="008258CF">
        <w:t>over recent decades. Typical house prices used to be about four times median incomes, but they are now more than eight times median incomes, and more in Melbourne and Sydney.</w:t>
      </w:r>
      <w:r w:rsidR="008258CF">
        <w:rPr>
          <w:rStyle w:val="FootnoteReference"/>
        </w:rPr>
        <w:footnoteReference w:id="42"/>
      </w:r>
    </w:p>
    <w:p w14:paraId="636F6AA1" w14:textId="4F372F4A" w:rsidR="00B90C29" w:rsidRDefault="00C70A71" w:rsidP="00EE7415">
      <w:pPr>
        <w:pStyle w:val="BulletedList-Level1"/>
      </w:pPr>
      <w:r>
        <w:lastRenderedPageBreak/>
        <w:t xml:space="preserve">With the growth in house prices, it now takes longer for the average household to save for a home loan deposit. </w:t>
      </w:r>
      <w:r w:rsidR="00B90C29" w:rsidRPr="00F64CE8">
        <w:t xml:space="preserve">Men on average have a greater potential to accumulate a deposit faster than women, and have a greater rate of dwelling ownership than women. </w:t>
      </w:r>
    </w:p>
    <w:p w14:paraId="6F370DFB" w14:textId="131E0DC4" w:rsidR="005E65E7" w:rsidRDefault="00FC6B5C" w:rsidP="00EE7415">
      <w:pPr>
        <w:pStyle w:val="BulletedList-Level1"/>
      </w:pPr>
      <w:r>
        <w:t>B</w:t>
      </w:r>
      <w:r w:rsidRPr="005E65E7">
        <w:t>ased on the average full-time weekly earnings data for men and women</w:t>
      </w:r>
      <w:r>
        <w:t>, m</w:t>
      </w:r>
      <w:r w:rsidR="005E65E7" w:rsidRPr="005E65E7">
        <w:t>en are able to save a 20</w:t>
      </w:r>
      <w:r w:rsidR="00EE7415">
        <w:t xml:space="preserve"> per cent</w:t>
      </w:r>
      <w:r w:rsidR="00B90C29">
        <w:t xml:space="preserve"> </w:t>
      </w:r>
      <w:r w:rsidR="005E65E7" w:rsidRPr="005E65E7">
        <w:t>deposit on the current median dwelling value after 79</w:t>
      </w:r>
      <w:r w:rsidR="00830BBD">
        <w:t> </w:t>
      </w:r>
      <w:r w:rsidR="005E65E7" w:rsidRPr="005E65E7">
        <w:t>months, compared to 91</w:t>
      </w:r>
      <w:r w:rsidR="00C70A71">
        <w:t> </w:t>
      </w:r>
      <w:r w:rsidR="005E65E7" w:rsidRPr="005E65E7">
        <w:t xml:space="preserve">months </w:t>
      </w:r>
      <w:r w:rsidR="00724A56" w:rsidRPr="005E65E7">
        <w:t>for</w:t>
      </w:r>
      <w:r w:rsidR="00724A56">
        <w:t> </w:t>
      </w:r>
      <w:r w:rsidR="005E65E7" w:rsidRPr="005E65E7">
        <w:t>women</w:t>
      </w:r>
      <w:r w:rsidR="005E65E7">
        <w:t>.</w:t>
      </w:r>
      <w:r w:rsidR="005E65E7">
        <w:rPr>
          <w:rStyle w:val="FootnoteReference"/>
        </w:rPr>
        <w:footnoteReference w:id="43"/>
      </w:r>
      <w:r w:rsidR="00830BBD">
        <w:t xml:space="preserve"> </w:t>
      </w:r>
    </w:p>
    <w:p w14:paraId="74D72477" w14:textId="29F63AD7" w:rsidR="00830BBD" w:rsidRDefault="00830BBD" w:rsidP="00EE7415">
      <w:pPr>
        <w:pStyle w:val="BulletedList-Level1"/>
      </w:pPr>
      <w:r w:rsidRPr="00830BBD">
        <w:t>Sole male property buyers are more likely to own detached houses (men own 28.5</w:t>
      </w:r>
      <w:r w:rsidR="008223E6">
        <w:t xml:space="preserve"> per cent</w:t>
      </w:r>
      <w:r>
        <w:t xml:space="preserve"> </w:t>
      </w:r>
      <w:r w:rsidRPr="00830BBD">
        <w:t>of houses and partially own 76</w:t>
      </w:r>
      <w:r w:rsidR="008223E6">
        <w:t xml:space="preserve"> per cent</w:t>
      </w:r>
      <w:r>
        <w:t xml:space="preserve"> </w:t>
      </w:r>
      <w:r w:rsidRPr="00830BBD">
        <w:t>of houses, compared with women who own 24</w:t>
      </w:r>
      <w:r w:rsidR="008223E6">
        <w:t xml:space="preserve"> per cent</w:t>
      </w:r>
      <w:r w:rsidRPr="00830BBD">
        <w:t xml:space="preserve"> of houses and partial</w:t>
      </w:r>
      <w:r w:rsidR="00B90C29">
        <w:t>ly</w:t>
      </w:r>
      <w:r w:rsidRPr="00830BBD">
        <w:t xml:space="preserve"> own 71.5</w:t>
      </w:r>
      <w:r w:rsidR="008223E6">
        <w:t xml:space="preserve"> per cent</w:t>
      </w:r>
      <w:r>
        <w:t xml:space="preserve"> </w:t>
      </w:r>
      <w:r w:rsidRPr="00830BBD">
        <w:t>of houses) while sole female buyers were more likely to own units. The ten</w:t>
      </w:r>
      <w:r w:rsidR="00B90C29">
        <w:noBreakHyphen/>
      </w:r>
      <w:r w:rsidRPr="00830BBD">
        <w:t>year annualised growth rate in Australia of houses is higher (6.2</w:t>
      </w:r>
      <w:r w:rsidR="008223E6">
        <w:t xml:space="preserve"> per cent</w:t>
      </w:r>
      <w:r>
        <w:t xml:space="preserve"> </w:t>
      </w:r>
      <w:r w:rsidRPr="00830BBD">
        <w:t>per year) than for units (4.1</w:t>
      </w:r>
      <w:r w:rsidR="008223E6">
        <w:t xml:space="preserve"> per cent</w:t>
      </w:r>
      <w:r w:rsidR="00F154CF">
        <w:t> </w:t>
      </w:r>
      <w:r w:rsidRPr="00830BBD">
        <w:t>per</w:t>
      </w:r>
      <w:r w:rsidR="00F154CF">
        <w:t> </w:t>
      </w:r>
      <w:r w:rsidRPr="00830BBD">
        <w:t>year).</w:t>
      </w:r>
      <w:r>
        <w:rPr>
          <w:rStyle w:val="FootnoteReference"/>
        </w:rPr>
        <w:footnoteReference w:id="44"/>
      </w:r>
    </w:p>
    <w:p w14:paraId="3A1BF6E0" w14:textId="7A56B52B" w:rsidR="004E77D9" w:rsidRDefault="00D13DE7" w:rsidP="00151FD7">
      <w:pPr>
        <w:pStyle w:val="BulletedList-Level1"/>
      </w:pPr>
      <w:r>
        <w:t xml:space="preserve">Separation also </w:t>
      </w:r>
      <w:r w:rsidR="007B1C05">
        <w:t>impacts</w:t>
      </w:r>
      <w:r>
        <w:t xml:space="preserve"> women’s rates of home ownership. Where women retain a share of their home after divorce, most fall out of home ownership because they cannot afford the mortgage. Sole women have the lowest rate of home ownership (24.4</w:t>
      </w:r>
      <w:r w:rsidR="008223E6">
        <w:t xml:space="preserve"> per cent</w:t>
      </w:r>
      <w:r>
        <w:t xml:space="preserve"> of properties have a sole female owner</w:t>
      </w:r>
      <w:r w:rsidR="00B305F5">
        <w:t>, while 27.5</w:t>
      </w:r>
      <w:r w:rsidR="008223E6">
        <w:t xml:space="preserve"> per cent</w:t>
      </w:r>
      <w:r w:rsidR="00B305F5">
        <w:t xml:space="preserve"> of properties have a sole male owner), despite being over</w:t>
      </w:r>
      <w:r w:rsidR="002405C8">
        <w:noBreakHyphen/>
      </w:r>
      <w:r w:rsidR="00B305F5">
        <w:t>represented in single households and single parent households.</w:t>
      </w:r>
      <w:r w:rsidR="00B305F5">
        <w:rPr>
          <w:rStyle w:val="FootnoteReference"/>
        </w:rPr>
        <w:footnoteReference w:id="45"/>
      </w:r>
    </w:p>
    <w:p w14:paraId="3071DC8E" w14:textId="05F73656" w:rsidR="004E77D9" w:rsidRPr="00175C0D" w:rsidRDefault="004E77D9" w:rsidP="00DA7902">
      <w:pPr>
        <w:pStyle w:val="Heading3"/>
      </w:pPr>
      <w:r w:rsidRPr="00175C0D">
        <w:t>Housing debt and mortgage repayments</w:t>
      </w:r>
    </w:p>
    <w:p w14:paraId="4EC75502" w14:textId="77777777" w:rsidR="004D0B8E" w:rsidRDefault="008223E6" w:rsidP="004E77D9">
      <w:pPr>
        <w:pStyle w:val="BulletedList-Level1"/>
      </w:pPr>
      <w:r w:rsidRPr="008223E6">
        <w:t>The amount of housing debt</w:t>
      </w:r>
      <w:r w:rsidR="004D0B8E">
        <w:t xml:space="preserve"> in Australia</w:t>
      </w:r>
      <w:r w:rsidRPr="008223E6">
        <w:t xml:space="preserve"> is </w:t>
      </w:r>
      <w:r w:rsidR="004D0B8E">
        <w:t>high</w:t>
      </w:r>
      <w:r w:rsidRPr="008223E6">
        <w:t xml:space="preserve"> as house prices rose faster than income</w:t>
      </w:r>
      <w:r>
        <w:t xml:space="preserve"> over recent decades</w:t>
      </w:r>
      <w:r w:rsidRPr="008223E6">
        <w:t xml:space="preserve">, coupled with an environment of rising interest rates more recently. </w:t>
      </w:r>
    </w:p>
    <w:p w14:paraId="09913EFD" w14:textId="5FBBE8E3" w:rsidR="00BC13AB" w:rsidRDefault="008223E6" w:rsidP="00585D5A">
      <w:pPr>
        <w:pStyle w:val="BulletedList-Level1"/>
      </w:pPr>
      <w:r w:rsidRPr="008223E6">
        <w:t>Total mortgage repayments have risen rapidly as a share of income across all capital cities.</w:t>
      </w:r>
      <w:r w:rsidR="004D0B8E">
        <w:t xml:space="preserve"> </w:t>
      </w:r>
      <w:r w:rsidR="00BC13AB">
        <w:t>Average mortgage payments in Sydney have increased from 44.3</w:t>
      </w:r>
      <w:r>
        <w:t xml:space="preserve"> per cent</w:t>
      </w:r>
      <w:r w:rsidR="00BC13AB">
        <w:t xml:space="preserve"> of gross income in 2020 to 53.4</w:t>
      </w:r>
      <w:r>
        <w:t xml:space="preserve"> per cent</w:t>
      </w:r>
      <w:r w:rsidR="00BC13AB">
        <w:t xml:space="preserve"> of gross income in May of 2022. Mortgage holders in Hobart experienced the sharpest increase in mortgage repayments as a percentage of income, increasing by 9.6</w:t>
      </w:r>
      <w:r>
        <w:t> </w:t>
      </w:r>
      <w:r w:rsidR="00BC13AB">
        <w:t>percentage points over the period.</w:t>
      </w:r>
    </w:p>
    <w:p w14:paraId="5D3E48AA" w14:textId="3A9B2F5F" w:rsidR="00C65350" w:rsidRPr="00700BB4" w:rsidRDefault="00C65350" w:rsidP="00DA7902">
      <w:pPr>
        <w:pStyle w:val="Heading1"/>
        <w:rPr>
          <w:highlight w:val="yellow"/>
        </w:rPr>
      </w:pPr>
      <w:r w:rsidRPr="00700BB4">
        <w:t>Drivers of gender inequality</w:t>
      </w:r>
    </w:p>
    <w:p w14:paraId="39767F6B" w14:textId="716C33CE" w:rsidR="00C65350" w:rsidRDefault="001C027E" w:rsidP="00C65350">
      <w:pPr>
        <w:spacing w:after="200"/>
        <w:rPr>
          <w:color w:val="0F1F35" w:themeColor="text2"/>
        </w:rPr>
      </w:pPr>
      <w:r>
        <w:t>Research</w:t>
      </w:r>
      <w:r w:rsidR="00C65350" w:rsidRPr="00700BB4">
        <w:t xml:space="preserve"> and stakeholder feedback to date</w:t>
      </w:r>
      <w:r w:rsidR="008403B4">
        <w:t xml:space="preserve">, but are not limited to, </w:t>
      </w:r>
      <w:r w:rsidR="00C65350" w:rsidRPr="00700BB4">
        <w:t xml:space="preserve">suggests the following drivers of gender inequality </w:t>
      </w:r>
      <w:r w:rsidR="00D26568">
        <w:t>i</w:t>
      </w:r>
      <w:r w:rsidR="00D26568" w:rsidRPr="00700BB4">
        <w:t xml:space="preserve">n </w:t>
      </w:r>
      <w:r w:rsidR="00EB44A4">
        <w:rPr>
          <w:color w:val="0F1F35" w:themeColor="text2"/>
        </w:rPr>
        <w:t>housing security</w:t>
      </w:r>
      <w:r w:rsidR="00C65350" w:rsidRPr="00700BB4">
        <w:rPr>
          <w:color w:val="0F1F35" w:themeColor="text2"/>
        </w:rPr>
        <w:t xml:space="preserve">: </w:t>
      </w:r>
    </w:p>
    <w:p w14:paraId="652FF87A" w14:textId="00C39E99" w:rsidR="00EB44A4" w:rsidRPr="00743993" w:rsidRDefault="00EB44A4" w:rsidP="00EE7415">
      <w:pPr>
        <w:pStyle w:val="BulletedList-Level1"/>
      </w:pPr>
      <w:r w:rsidRPr="00743993">
        <w:t>The broader drivers of housing unaffordability and inaccessibility across Australia</w:t>
      </w:r>
      <w:r w:rsidR="00DA69FF">
        <w:t xml:space="preserve">, </w:t>
      </w:r>
      <w:r w:rsidRPr="00743993">
        <w:t xml:space="preserve">such as low social and affordable housing stock and </w:t>
      </w:r>
      <w:r w:rsidR="00DA69FF">
        <w:t>challenges in</w:t>
      </w:r>
      <w:r w:rsidRPr="00743993">
        <w:t xml:space="preserve"> increasing housing supply</w:t>
      </w:r>
      <w:r w:rsidR="00DA69FF">
        <w:t>, have particular impacts on women as they face additional barriers in securing housing.</w:t>
      </w:r>
    </w:p>
    <w:p w14:paraId="7E65CC8E" w14:textId="265F1728" w:rsidR="00EB44A4" w:rsidRPr="00F64CE8" w:rsidRDefault="00EB44A4" w:rsidP="00EE7415">
      <w:pPr>
        <w:pStyle w:val="BulletedList-Level1"/>
        <w:rPr>
          <w:b/>
        </w:rPr>
      </w:pPr>
      <w:r w:rsidRPr="00743993">
        <w:t>The</w:t>
      </w:r>
      <w:r w:rsidR="00A33AC4">
        <w:t xml:space="preserve">re are </w:t>
      </w:r>
      <w:r w:rsidRPr="00743993">
        <w:t xml:space="preserve">complex and structural drivers of housing insecurity for women, such as the </w:t>
      </w:r>
      <w:r w:rsidRPr="00F64CE8">
        <w:t xml:space="preserve">gender pay gap across working life, greater burden of unpaid work and disrupted employment, greater economic consequences from divorce and separation, lower </w:t>
      </w:r>
      <w:r w:rsidR="006240B3">
        <w:t xml:space="preserve">wealth accumulation and </w:t>
      </w:r>
      <w:r w:rsidRPr="00F64CE8">
        <w:lastRenderedPageBreak/>
        <w:t>superannuation balances</w:t>
      </w:r>
      <w:r w:rsidR="006240B3">
        <w:t>, and the impacts of FDV</w:t>
      </w:r>
      <w:r w:rsidRPr="00F64CE8">
        <w:t xml:space="preserve">. </w:t>
      </w:r>
      <w:r w:rsidR="00072B9E">
        <w:t>There are intersectional impacts for women from marginalised and disadvantaged groups.</w:t>
      </w:r>
    </w:p>
    <w:p w14:paraId="166BEBDB" w14:textId="40172910" w:rsidR="00C53D35" w:rsidRPr="004B5B2E" w:rsidRDefault="00C53D35" w:rsidP="00EE7415">
      <w:pPr>
        <w:pStyle w:val="BulletedList-Level1"/>
        <w:rPr>
          <w:b/>
        </w:rPr>
      </w:pPr>
      <w:r w:rsidRPr="00EB44A4">
        <w:t>Access to secure, afforda</w:t>
      </w:r>
      <w:r w:rsidR="00072B9E">
        <w:t>ble and safe long-term housing that</w:t>
      </w:r>
      <w:r w:rsidRPr="00EB44A4">
        <w:t xml:space="preserve"> is inclu</w:t>
      </w:r>
      <w:r w:rsidR="00072B9E">
        <w:t>sive and culturally</w:t>
      </w:r>
      <w:r w:rsidR="00072B9E">
        <w:noBreakHyphen/>
        <w:t>appropriate</w:t>
      </w:r>
      <w:r w:rsidRPr="00EB44A4">
        <w:t xml:space="preserve"> delivers significant economic and social benefits</w:t>
      </w:r>
      <w:r>
        <w:t>—</w:t>
      </w:r>
      <w:r w:rsidRPr="00EB44A4">
        <w:t>including improved health and wellbeing, social connection, education and retirement outcomes, and greater workforce participation. Housing is key for women to be able to leave and recover from FDV.</w:t>
      </w:r>
      <w:r w:rsidR="0052469B">
        <w:t xml:space="preserve"> </w:t>
      </w:r>
    </w:p>
    <w:p w14:paraId="1528A24A" w14:textId="3B212162" w:rsidR="0052469B" w:rsidRPr="00EB44A4" w:rsidRDefault="003B7229" w:rsidP="00EE7415">
      <w:pPr>
        <w:pStyle w:val="BulletedList-Level1"/>
        <w:rPr>
          <w:b/>
        </w:rPr>
      </w:pPr>
      <w:r>
        <w:t>H</w:t>
      </w:r>
      <w:r w:rsidR="0052469B" w:rsidRPr="00EB44A4">
        <w:t xml:space="preserve">ome ownership is </w:t>
      </w:r>
      <w:r>
        <w:t xml:space="preserve">also </w:t>
      </w:r>
      <w:r w:rsidR="0052469B" w:rsidRPr="00EB44A4">
        <w:t>a key source of wealth accumulation in Australia and a pillar of retirement</w:t>
      </w:r>
      <w:r>
        <w:t xml:space="preserve">, which </w:t>
      </w:r>
      <w:r w:rsidR="0052469B" w:rsidRPr="00EB44A4">
        <w:t>is particularly important given women have longer life expectancy than men.</w:t>
      </w:r>
    </w:p>
    <w:p w14:paraId="3D84956F" w14:textId="15C71056" w:rsidR="0052469B" w:rsidRPr="00EB44A4" w:rsidRDefault="0052469B" w:rsidP="00EE7415">
      <w:pPr>
        <w:pStyle w:val="BulletedList-Level1"/>
        <w:rPr>
          <w:b/>
        </w:rPr>
      </w:pPr>
      <w:r>
        <w:t>As such, the high representation of women from a diversity of backgro</w:t>
      </w:r>
      <w:r w:rsidR="00072B9E">
        <w:t>unds and economic circumstances</w:t>
      </w:r>
      <w:r>
        <w:t xml:space="preserve"> accessing specialist homelessness services and occupying social housing</w:t>
      </w:r>
      <w:r w:rsidR="00210708">
        <w:t>, as well as</w:t>
      </w:r>
      <w:r>
        <w:t xml:space="preserve"> the lower rates of property ownership among women, </w:t>
      </w:r>
      <w:r w:rsidR="00210708">
        <w:t xml:space="preserve">are </w:t>
      </w:r>
      <w:r>
        <w:t>key barriers to gender equality in Australia.</w:t>
      </w:r>
    </w:p>
    <w:p w14:paraId="2204EA2E" w14:textId="1FD35CCC" w:rsidR="00C65350" w:rsidRPr="00700BB4" w:rsidRDefault="00C65350" w:rsidP="00DA7902">
      <w:pPr>
        <w:pStyle w:val="Heading1"/>
      </w:pPr>
      <w:r w:rsidRPr="00700BB4">
        <w:t xml:space="preserve">Discussion </w:t>
      </w:r>
    </w:p>
    <w:p w14:paraId="31989C36" w14:textId="77777777" w:rsidR="00C65350" w:rsidRPr="00700BB4" w:rsidRDefault="00C65350" w:rsidP="00C65350">
      <w:pPr>
        <w:rPr>
          <w:b/>
        </w:rPr>
      </w:pPr>
      <w:r w:rsidRPr="00700BB4">
        <w:t>We ask that you contribute your views on</w:t>
      </w:r>
      <w:r>
        <w:t>:</w:t>
      </w:r>
    </w:p>
    <w:p w14:paraId="46AD919E" w14:textId="5B749C71" w:rsidR="00C65350" w:rsidRPr="00700BB4" w:rsidRDefault="00C65350" w:rsidP="00C65350">
      <w:pPr>
        <w:numPr>
          <w:ilvl w:val="0"/>
          <w:numId w:val="35"/>
        </w:numPr>
        <w:contextualSpacing/>
      </w:pPr>
      <w:r w:rsidRPr="00700BB4">
        <w:t>What are t</w:t>
      </w:r>
      <w:r>
        <w:t xml:space="preserve">he drivers of gender inequitable outcomes </w:t>
      </w:r>
      <w:r w:rsidR="00D712E1">
        <w:t xml:space="preserve">in </w:t>
      </w:r>
      <w:r w:rsidR="007926F3">
        <w:t>access to secure, affordable, long</w:t>
      </w:r>
      <w:r w:rsidR="007926F3">
        <w:noBreakHyphen/>
        <w:t xml:space="preserve">term </w:t>
      </w:r>
      <w:r w:rsidR="00D712E1">
        <w:t>housing</w:t>
      </w:r>
      <w:r>
        <w:t>?</w:t>
      </w:r>
    </w:p>
    <w:p w14:paraId="0BB8379D" w14:textId="49879727" w:rsidR="00C65350" w:rsidRPr="00700BB4" w:rsidRDefault="00C65350" w:rsidP="00C65350">
      <w:pPr>
        <w:numPr>
          <w:ilvl w:val="0"/>
          <w:numId w:val="35"/>
        </w:numPr>
        <w:contextualSpacing/>
      </w:pPr>
      <w:r w:rsidRPr="00700BB4">
        <w:t xml:space="preserve">What are the barriers to achieve </w:t>
      </w:r>
      <w:r w:rsidR="00B712F6">
        <w:t xml:space="preserve">greater </w:t>
      </w:r>
      <w:r w:rsidRPr="00700BB4">
        <w:t xml:space="preserve">gender </w:t>
      </w:r>
      <w:r>
        <w:t>equitable outcome</w:t>
      </w:r>
      <w:r w:rsidR="007926F3">
        <w:t>s</w:t>
      </w:r>
      <w:r>
        <w:t xml:space="preserve"> </w:t>
      </w:r>
      <w:r w:rsidR="00D214F6">
        <w:t>across housing spectrum</w:t>
      </w:r>
      <w:r w:rsidRPr="00700BB4">
        <w:t>?</w:t>
      </w:r>
    </w:p>
    <w:p w14:paraId="106D6A5C" w14:textId="1D3A53B1" w:rsidR="00D214F6" w:rsidRDefault="00C65350" w:rsidP="00D214F6">
      <w:pPr>
        <w:numPr>
          <w:ilvl w:val="0"/>
          <w:numId w:val="35"/>
        </w:numPr>
        <w:contextualSpacing/>
      </w:pPr>
      <w:r w:rsidRPr="00700BB4">
        <w:t>What are some concre</w:t>
      </w:r>
      <w:r>
        <w:t xml:space="preserve">te policy options that </w:t>
      </w:r>
      <w:r w:rsidRPr="00700BB4">
        <w:t xml:space="preserve">should </w:t>
      </w:r>
      <w:r>
        <w:t xml:space="preserve">be considered </w:t>
      </w:r>
      <w:r w:rsidR="00B712F6">
        <w:t>as part of</w:t>
      </w:r>
      <w:r>
        <w:t xml:space="preserve"> th</w:t>
      </w:r>
      <w:r w:rsidR="00B712F6">
        <w:t>is</w:t>
      </w:r>
      <w:r>
        <w:t xml:space="preserve"> Strategy</w:t>
      </w:r>
      <w:r w:rsidR="00C864D3">
        <w:t>, and under the Government’s housing reform agenda,</w:t>
      </w:r>
      <w:r w:rsidR="00066CE0">
        <w:t xml:space="preserve"> </w:t>
      </w:r>
      <w:r w:rsidRPr="00700BB4">
        <w:t xml:space="preserve">to </w:t>
      </w:r>
      <w:r>
        <w:t xml:space="preserve">achieve more gender equitable outcomes in </w:t>
      </w:r>
      <w:r w:rsidR="007926F3">
        <w:t>access to secure, affordable, long</w:t>
      </w:r>
      <w:r w:rsidR="007926F3">
        <w:noBreakHyphen/>
        <w:t>term housing</w:t>
      </w:r>
      <w:r w:rsidRPr="00700BB4">
        <w:t xml:space="preserve">? </w:t>
      </w:r>
    </w:p>
    <w:p w14:paraId="14EA36DA" w14:textId="6DB20008" w:rsidR="00C65350" w:rsidRPr="007F10FD" w:rsidRDefault="00C65350" w:rsidP="00D214F6">
      <w:pPr>
        <w:numPr>
          <w:ilvl w:val="0"/>
          <w:numId w:val="35"/>
        </w:numPr>
        <w:contextualSpacing/>
      </w:pPr>
      <w:r>
        <w:t xml:space="preserve">What will success look like and how can </w:t>
      </w:r>
      <w:r w:rsidR="00ED2498">
        <w:t>it</w:t>
      </w:r>
      <w:r>
        <w:t xml:space="preserve"> be measured</w:t>
      </w:r>
      <w:r w:rsidR="00ED2498">
        <w:t xml:space="preserve"> and evaluated</w:t>
      </w:r>
      <w:r>
        <w:t xml:space="preserve">? </w:t>
      </w:r>
    </w:p>
    <w:p w14:paraId="57215B1A" w14:textId="42F7C26E" w:rsidR="00C65350" w:rsidRPr="00700BB4" w:rsidRDefault="00C65350" w:rsidP="00C65350">
      <w:r w:rsidRPr="00700BB4">
        <w:t xml:space="preserve">We are mindful of the need to ensure the rich variety of lived experiences of </w:t>
      </w:r>
      <w:r w:rsidR="00956A3F">
        <w:t>people in Australia</w:t>
      </w:r>
      <w:r w:rsidRPr="00700BB4">
        <w:t xml:space="preserve"> are captured during this consultation process. This includes hearing from those who:</w:t>
      </w:r>
    </w:p>
    <w:p w14:paraId="35B0E045" w14:textId="77777777" w:rsidR="00C65350" w:rsidRPr="00700BB4" w:rsidRDefault="00C65350" w:rsidP="00EE7415">
      <w:pPr>
        <w:pStyle w:val="BulletedList-Level1"/>
      </w:pPr>
      <w:r w:rsidRPr="00700BB4">
        <w:t>are living with disability;</w:t>
      </w:r>
    </w:p>
    <w:p w14:paraId="5D987927" w14:textId="77777777" w:rsidR="00C65350" w:rsidRPr="00700BB4" w:rsidRDefault="00C65350" w:rsidP="00EE7415">
      <w:pPr>
        <w:pStyle w:val="BulletedList-Level1"/>
      </w:pPr>
      <w:r w:rsidRPr="00700BB4">
        <w:t xml:space="preserve">are First Nations people; </w:t>
      </w:r>
    </w:p>
    <w:p w14:paraId="3D6CAEF3" w14:textId="5E5A6025" w:rsidR="00C65350" w:rsidRPr="00700BB4" w:rsidRDefault="00C65350" w:rsidP="00EE7415">
      <w:pPr>
        <w:pStyle w:val="BulletedList-Level1"/>
      </w:pPr>
      <w:r w:rsidRPr="00700BB4">
        <w:t>are people who are part of the LGBTQIA+ community;</w:t>
      </w:r>
    </w:p>
    <w:p w14:paraId="0D807BB1" w14:textId="77777777" w:rsidR="00C65350" w:rsidRPr="00700BB4" w:rsidRDefault="00C65350" w:rsidP="00EE7415">
      <w:pPr>
        <w:pStyle w:val="BulletedList-Level1"/>
      </w:pPr>
      <w:r w:rsidRPr="00700BB4">
        <w:t>are migrants and refugees;</w:t>
      </w:r>
    </w:p>
    <w:p w14:paraId="1515FFDB" w14:textId="77777777" w:rsidR="00C65350" w:rsidRPr="00700BB4" w:rsidRDefault="00C65350" w:rsidP="00EE7415">
      <w:pPr>
        <w:pStyle w:val="BulletedList-Level1"/>
      </w:pPr>
      <w:r w:rsidRPr="00700BB4">
        <w:t>are people of colour;</w:t>
      </w:r>
    </w:p>
    <w:p w14:paraId="08054423" w14:textId="77777777" w:rsidR="00C65350" w:rsidRPr="00700BB4" w:rsidRDefault="00C65350" w:rsidP="00EE7415">
      <w:pPr>
        <w:pStyle w:val="BulletedList-Level1"/>
      </w:pPr>
      <w:r w:rsidRPr="00700BB4">
        <w:t xml:space="preserve">are living in regional and remote areas; </w:t>
      </w:r>
    </w:p>
    <w:p w14:paraId="4D13A272" w14:textId="77777777" w:rsidR="00C65350" w:rsidRPr="00700BB4" w:rsidRDefault="00C65350" w:rsidP="00EE7415">
      <w:pPr>
        <w:pStyle w:val="BulletedList-Level1"/>
      </w:pPr>
      <w:r w:rsidRPr="00700BB4">
        <w:t>are of different ages and life stages, education levels, migration status, and/or socio-economic background;</w:t>
      </w:r>
    </w:p>
    <w:p w14:paraId="054BBDF1" w14:textId="77777777" w:rsidR="00C65350" w:rsidRPr="00700BB4" w:rsidRDefault="00C65350" w:rsidP="00EE7415">
      <w:pPr>
        <w:pStyle w:val="BulletedList-Level1"/>
      </w:pPr>
      <w:r w:rsidRPr="00700BB4">
        <w:t xml:space="preserve">have experience of trauma; as well as </w:t>
      </w:r>
    </w:p>
    <w:p w14:paraId="5BE13F3C" w14:textId="7EA38B26" w:rsidR="009B7E57" w:rsidRPr="005B5E57" w:rsidRDefault="00C65350" w:rsidP="00EE7415">
      <w:pPr>
        <w:pStyle w:val="BulletedList-Level1"/>
      </w:pPr>
      <w:proofErr w:type="gramStart"/>
      <w:r w:rsidRPr="00700BB4">
        <w:t>all</w:t>
      </w:r>
      <w:proofErr w:type="gramEnd"/>
      <w:r w:rsidRPr="00700BB4">
        <w:t xml:space="preserve"> other factors that may impact people’s experience of gender equality or inequality. </w:t>
      </w:r>
    </w:p>
    <w:sectPr w:rsidR="009B7E57" w:rsidRPr="005B5E57" w:rsidSect="004009A3">
      <w:headerReference w:type="default" r:id="rId17"/>
      <w:footerReference w:type="default" r:id="rId18"/>
      <w:headerReference w:type="first" r:id="rId19"/>
      <w:footerReference w:type="first" r:id="rId20"/>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B70AB" w14:textId="77777777" w:rsidR="004E2DE5" w:rsidRDefault="004E2DE5" w:rsidP="00F957C6">
      <w:pPr>
        <w:spacing w:after="0" w:line="240" w:lineRule="auto"/>
      </w:pPr>
      <w:r>
        <w:separator/>
      </w:r>
    </w:p>
  </w:endnote>
  <w:endnote w:type="continuationSeparator" w:id="0">
    <w:p w14:paraId="3D318248" w14:textId="77777777" w:rsidR="004E2DE5" w:rsidRDefault="004E2DE5" w:rsidP="00F957C6">
      <w:pPr>
        <w:spacing w:after="0" w:line="240" w:lineRule="auto"/>
      </w:pPr>
      <w:r>
        <w:continuationSeparator/>
      </w:r>
    </w:p>
  </w:endnote>
  <w:endnote w:type="continuationNotice" w:id="1">
    <w:p w14:paraId="0BB7929B" w14:textId="77777777" w:rsidR="004E2DE5" w:rsidRDefault="004E2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648" w14:textId="6488F4E4" w:rsidR="00445FD1" w:rsidRPr="00285CAF" w:rsidRDefault="00445FD1" w:rsidP="00D10635">
    <w:pPr>
      <w:jc w:val="center"/>
    </w:pPr>
  </w:p>
  <w:p w14:paraId="665668DC" w14:textId="29D224A9" w:rsidR="00445FD1" w:rsidRPr="008046D4" w:rsidRDefault="00445FD1" w:rsidP="00D10635">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248491664"/>
        <w:dataBinding w:prefixMappings="xmlns:ns0='http://schemas.openxmlformats.org/officeDocument/2006/extended-properties' " w:xpath="/ns0:Properties[1]/ns0:Manager[1]" w:storeItemID="{6668398D-A668-4E3E-A5EB-62B293D839F1}"/>
        <w:text/>
      </w:sdtPr>
      <w:sdtEndPr/>
      <w:sdtContent>
        <w:r>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Housing and Infrastructure</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BC07D1">
      <w:rPr>
        <w:rFonts w:ascii="Segoe UI" w:hAnsi="Segoe UI" w:cs="Segoe UI"/>
        <w:noProof/>
        <w:color w:val="7F7F7F" w:themeColor="text1" w:themeTint="80"/>
        <w:sz w:val="18"/>
      </w:rPr>
      <w:t>2</w:t>
    </w:r>
    <w:r w:rsidRPr="008046D4">
      <w:rPr>
        <w:rFonts w:ascii="Segoe UI" w:hAnsi="Segoe UI" w:cs="Segoe UI"/>
        <w:noProof/>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D564" w14:textId="3843B94C" w:rsidR="00445FD1" w:rsidRPr="00285CAF" w:rsidRDefault="00445FD1" w:rsidP="002160A7">
    <w:pPr>
      <w:jc w:val="center"/>
    </w:pPr>
  </w:p>
  <w:p w14:paraId="70A5306C" w14:textId="2942A680" w:rsidR="00445FD1" w:rsidRPr="008046D4" w:rsidRDefault="00445FD1" w:rsidP="002160A7">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375738123"/>
        <w:dataBinding w:prefixMappings="xmlns:ns0='http://schemas.openxmlformats.org/officeDocument/2006/extended-properties' " w:xpath="/ns0:Properties[1]/ns0:Manager[1]" w:storeItemID="{6668398D-A668-4E3E-A5EB-62B293D839F1}"/>
        <w:text/>
      </w:sdtPr>
      <w:sdtEndPr/>
      <w:sdtContent>
        <w:r>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177018151"/>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Housing and Infrastructure</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BC07D1">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BFA2D" w14:textId="77777777" w:rsidR="004E2DE5" w:rsidRDefault="004E2DE5" w:rsidP="00F957C6">
      <w:pPr>
        <w:spacing w:after="0" w:line="240" w:lineRule="auto"/>
      </w:pPr>
      <w:r>
        <w:separator/>
      </w:r>
    </w:p>
  </w:footnote>
  <w:footnote w:type="continuationSeparator" w:id="0">
    <w:p w14:paraId="29903FDE" w14:textId="77777777" w:rsidR="004E2DE5" w:rsidRDefault="004E2DE5" w:rsidP="00F957C6">
      <w:pPr>
        <w:spacing w:after="0" w:line="240" w:lineRule="auto"/>
      </w:pPr>
      <w:r>
        <w:continuationSeparator/>
      </w:r>
    </w:p>
  </w:footnote>
  <w:footnote w:type="continuationNotice" w:id="1">
    <w:p w14:paraId="72C0251C" w14:textId="77777777" w:rsidR="004E2DE5" w:rsidRDefault="004E2DE5">
      <w:pPr>
        <w:spacing w:after="0" w:line="240" w:lineRule="auto"/>
      </w:pPr>
    </w:p>
  </w:footnote>
  <w:footnote w:id="2">
    <w:p w14:paraId="496642DA" w14:textId="3639A9BC" w:rsidR="00445FD1" w:rsidRPr="00BD11FE" w:rsidRDefault="00445FD1">
      <w:pPr>
        <w:pStyle w:val="FootnoteText"/>
      </w:pPr>
      <w:r w:rsidRPr="00BD11FE">
        <w:rPr>
          <w:rStyle w:val="FootnoteReference"/>
        </w:rPr>
        <w:footnoteRef/>
      </w:r>
      <w:r w:rsidRPr="00BD11FE">
        <w:t xml:space="preserve"> Productivity Commission</w:t>
      </w:r>
      <w:r w:rsidR="001C4857">
        <w:t xml:space="preserve"> (2022) </w:t>
      </w:r>
      <w:hyperlink r:id="rId1" w:history="1">
        <w:r w:rsidRPr="00BD11FE">
          <w:rPr>
            <w:rStyle w:val="Hyperlink"/>
          </w:rPr>
          <w:t xml:space="preserve"> </w:t>
        </w:r>
        <w:r w:rsidRPr="00BD11FE">
          <w:rPr>
            <w:rStyle w:val="Hyperlink"/>
            <w:i/>
          </w:rPr>
          <w:t>In Need of Repair: The National Housing and Homelessness Agreement</w:t>
        </w:r>
      </w:hyperlink>
      <w:r w:rsidR="001C4857">
        <w:t>,</w:t>
      </w:r>
      <w:r w:rsidRPr="00BD11FE">
        <w:t xml:space="preserve"> p 2.</w:t>
      </w:r>
    </w:p>
  </w:footnote>
  <w:footnote w:id="3">
    <w:p w14:paraId="17B8C54A" w14:textId="230E75E7" w:rsidR="00445FD1" w:rsidRPr="00BD11FE" w:rsidRDefault="00445FD1" w:rsidP="00EE1CD8">
      <w:pPr>
        <w:pStyle w:val="FootnoteText"/>
        <w:rPr>
          <w:rFonts w:cstheme="minorHAnsi"/>
        </w:rPr>
      </w:pPr>
      <w:r w:rsidRPr="00BD11FE">
        <w:rPr>
          <w:rStyle w:val="FootnoteReference"/>
          <w:rFonts w:cstheme="minorHAnsi"/>
        </w:rPr>
        <w:footnoteRef/>
      </w:r>
      <w:r w:rsidRPr="00BD11FE">
        <w:rPr>
          <w:rFonts w:cstheme="minorHAnsi"/>
        </w:rPr>
        <w:t xml:space="preserve"> Suici</w:t>
      </w:r>
      <w:r w:rsidR="001C4857">
        <w:rPr>
          <w:rFonts w:cstheme="minorHAnsi"/>
        </w:rPr>
        <w:t xml:space="preserve">de Prevention Australia (2022) </w:t>
      </w:r>
      <w:hyperlink r:id="rId2" w:history="1">
        <w:r w:rsidRPr="00BD11FE">
          <w:rPr>
            <w:rStyle w:val="Hyperlink"/>
            <w:rFonts w:cstheme="minorHAnsi"/>
          </w:rPr>
          <w:t>State of the nation in suicide prevention</w:t>
        </w:r>
      </w:hyperlink>
      <w:r w:rsidRPr="00BD11FE">
        <w:rPr>
          <w:rFonts w:cstheme="minorHAnsi"/>
        </w:rPr>
        <w:t>, September 2022, p 14.</w:t>
      </w:r>
    </w:p>
  </w:footnote>
  <w:footnote w:id="4">
    <w:p w14:paraId="16D9907B" w14:textId="45687EBA" w:rsidR="00445FD1" w:rsidRPr="00BD11FE" w:rsidRDefault="00445FD1">
      <w:pPr>
        <w:pStyle w:val="FootnoteText"/>
      </w:pPr>
      <w:r w:rsidRPr="00BD11FE">
        <w:rPr>
          <w:rStyle w:val="FootnoteReference"/>
        </w:rPr>
        <w:footnoteRef/>
      </w:r>
      <w:r w:rsidRPr="00BD11FE">
        <w:t xml:space="preserve"> Productivity Commission (2020) </w:t>
      </w:r>
      <w:hyperlink r:id="rId3" w:history="1">
        <w:r w:rsidRPr="00BD11FE">
          <w:rPr>
            <w:rStyle w:val="Hyperlink"/>
            <w:i/>
          </w:rPr>
          <w:t>In Need of Repair: The National Housing and Homelessness Agreement</w:t>
        </w:r>
      </w:hyperlink>
      <w:r w:rsidRPr="00BD11FE">
        <w:t xml:space="preserve">, p 88. </w:t>
      </w:r>
    </w:p>
  </w:footnote>
  <w:footnote w:id="5">
    <w:p w14:paraId="3EDA1D41" w14:textId="77777777" w:rsidR="0059265A" w:rsidRPr="00834280" w:rsidRDefault="0059265A" w:rsidP="0059265A">
      <w:pPr>
        <w:pStyle w:val="FootnoteText"/>
      </w:pPr>
      <w:r>
        <w:rPr>
          <w:rStyle w:val="FootnoteReference"/>
        </w:rPr>
        <w:footnoteRef/>
      </w:r>
      <w:r>
        <w:t xml:space="preserve"> NHFIC, </w:t>
      </w:r>
      <w:hyperlink r:id="rId4" w:history="1">
        <w:r w:rsidRPr="00BF5A42">
          <w:rPr>
            <w:rStyle w:val="Hyperlink"/>
            <w:i/>
          </w:rPr>
          <w:t>First Home Buyer behaviour analysis</w:t>
        </w:r>
      </w:hyperlink>
      <w:r>
        <w:t xml:space="preserve"> (August 2022)</w:t>
      </w:r>
    </w:p>
  </w:footnote>
  <w:footnote w:id="6">
    <w:p w14:paraId="010D9077" w14:textId="034D9301" w:rsidR="00130B3E" w:rsidRPr="00BD11FE" w:rsidRDefault="00130B3E">
      <w:pPr>
        <w:pStyle w:val="FootnoteText"/>
      </w:pPr>
      <w:r w:rsidRPr="00BD11FE">
        <w:rPr>
          <w:rStyle w:val="FootnoteReference"/>
        </w:rPr>
        <w:footnoteRef/>
      </w:r>
      <w:r w:rsidRPr="00BD11FE">
        <w:t xml:space="preserve"> Equity Economics (2021), </w:t>
      </w:r>
      <w:hyperlink r:id="rId5" w:history="1">
        <w:r w:rsidRPr="00BD11FE">
          <w:rPr>
            <w:rStyle w:val="Hyperlink"/>
            <w:i/>
          </w:rPr>
          <w:t>https://www.equityeconomics.com.au/report-archive/nowhere-to-go-the-benefits-of-providing-long-term-social-housing-to-women-that-have-experienced-domestic-and-family-violence</w:t>
        </w:r>
      </w:hyperlink>
      <w:r w:rsidR="00EE7415">
        <w:t xml:space="preserve">, p </w:t>
      </w:r>
      <w:r w:rsidRPr="00BD11FE">
        <w:t xml:space="preserve">5. </w:t>
      </w:r>
    </w:p>
  </w:footnote>
  <w:footnote w:id="7">
    <w:p w14:paraId="373F85F7" w14:textId="1492B053" w:rsidR="00412E79" w:rsidRPr="00BD11FE" w:rsidRDefault="00412E79">
      <w:pPr>
        <w:pStyle w:val="FootnoteText"/>
      </w:pPr>
      <w:r w:rsidRPr="00BD11FE">
        <w:rPr>
          <w:rStyle w:val="FootnoteReference"/>
        </w:rPr>
        <w:footnoteRef/>
      </w:r>
      <w:r w:rsidRPr="00BD11FE">
        <w:t xml:space="preserve"> Dawson E (2022) </w:t>
      </w:r>
      <w:hyperlink r:id="rId6" w:history="1">
        <w:r w:rsidRPr="00BD11FE">
          <w:rPr>
            <w:rStyle w:val="Hyperlink"/>
            <w:i/>
          </w:rPr>
          <w:t>A Home of One’s Own: Philanthropic &amp; social sector solutions for women’s housing</w:t>
        </w:r>
      </w:hyperlink>
      <w:r w:rsidR="00EE7415">
        <w:t xml:space="preserve">, p </w:t>
      </w:r>
      <w:r w:rsidRPr="00BD11FE">
        <w:t>16.</w:t>
      </w:r>
    </w:p>
  </w:footnote>
  <w:footnote w:id="8">
    <w:p w14:paraId="144F2777" w14:textId="112EAB28" w:rsidR="00445FD1" w:rsidRPr="00BD11FE" w:rsidRDefault="00445FD1" w:rsidP="00EB44A4">
      <w:pPr>
        <w:pStyle w:val="FootnoteText"/>
        <w:rPr>
          <w:rFonts w:cstheme="minorHAnsi"/>
        </w:rPr>
      </w:pPr>
      <w:r w:rsidRPr="00BD11FE">
        <w:rPr>
          <w:rStyle w:val="FootnoteReference"/>
          <w:rFonts w:cstheme="minorHAnsi"/>
        </w:rPr>
        <w:footnoteRef/>
      </w:r>
      <w:r w:rsidRPr="00BD11FE">
        <w:rPr>
          <w:rFonts w:cstheme="minorHAnsi"/>
        </w:rPr>
        <w:t xml:space="preserve"> Phillips J (2006) </w:t>
      </w:r>
      <w:hyperlink r:id="rId7" w:history="1">
        <w:r w:rsidRPr="00BD11FE">
          <w:rPr>
            <w:rStyle w:val="Hyperlink"/>
            <w:rFonts w:cstheme="minorHAnsi"/>
            <w:i/>
          </w:rPr>
          <w:t>Measuring domestic violence and sexual assault against women: a review of the literature and statistics</w:t>
        </w:r>
      </w:hyperlink>
      <w:r w:rsidRPr="00BD11FE">
        <w:rPr>
          <w:rFonts w:cstheme="minorHAnsi"/>
          <w:i/>
        </w:rPr>
        <w:t xml:space="preserve">, </w:t>
      </w:r>
      <w:r w:rsidRPr="00BD11FE">
        <w:rPr>
          <w:rFonts w:cstheme="minorHAnsi"/>
        </w:rPr>
        <w:t>Parliamentary Library E-Briefs,</w:t>
      </w:r>
      <w:r w:rsidRPr="00BD11FE">
        <w:rPr>
          <w:rFonts w:cstheme="minorHAnsi"/>
          <w:i/>
        </w:rPr>
        <w:t xml:space="preserve"> </w:t>
      </w:r>
      <w:r w:rsidRPr="00BD11FE">
        <w:rPr>
          <w:rFonts w:cstheme="minorHAnsi"/>
        </w:rPr>
        <w:t xml:space="preserve">accessed on 20 September 2022. </w:t>
      </w:r>
    </w:p>
  </w:footnote>
  <w:footnote w:id="9">
    <w:p w14:paraId="418AE418" w14:textId="3B73DDF1" w:rsidR="00445FD1" w:rsidRPr="00BD11FE" w:rsidRDefault="00445FD1">
      <w:pPr>
        <w:pStyle w:val="FootnoteText"/>
      </w:pPr>
      <w:r w:rsidRPr="00BD11FE">
        <w:rPr>
          <w:rStyle w:val="FootnoteReference"/>
        </w:rPr>
        <w:footnoteRef/>
      </w:r>
      <w:r w:rsidRPr="00BD11FE">
        <w:t xml:space="preserve"> Dawson E (2022) </w:t>
      </w:r>
      <w:hyperlink r:id="rId8" w:history="1">
        <w:r w:rsidRPr="00BD11FE">
          <w:rPr>
            <w:rStyle w:val="Hyperlink"/>
            <w:i/>
          </w:rPr>
          <w:t>A Home of One’s Own: Philanthropic &amp; social sector solutions for women’s housing</w:t>
        </w:r>
      </w:hyperlink>
      <w:r w:rsidR="00EE7415">
        <w:t>, p</w:t>
      </w:r>
      <w:r w:rsidRPr="00BD11FE">
        <w:t xml:space="preserve"> 6.</w:t>
      </w:r>
    </w:p>
  </w:footnote>
  <w:footnote w:id="10">
    <w:p w14:paraId="3CBBA0BD" w14:textId="75CFD468"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Australian Institute of Health and Welfare (AIHW) (2022)</w:t>
      </w:r>
      <w:hyperlink r:id="rId9" w:history="1">
        <w:r w:rsidRPr="00BD11FE">
          <w:rPr>
            <w:rStyle w:val="Hyperlink"/>
            <w:rFonts w:cstheme="minorHAnsi"/>
          </w:rPr>
          <w:t xml:space="preserve"> </w:t>
        </w:r>
        <w:r w:rsidRPr="00BD11FE">
          <w:rPr>
            <w:rStyle w:val="Hyperlink"/>
            <w:rFonts w:cstheme="minorHAnsi"/>
            <w:i/>
          </w:rPr>
          <w:t>Specialist Homelessness Services: Monthly data</w:t>
        </w:r>
      </w:hyperlink>
      <w:r w:rsidRPr="00BD11FE">
        <w:rPr>
          <w:rFonts w:cstheme="minorHAnsi"/>
        </w:rPr>
        <w:t xml:space="preserve">, Australian Government, accessed on 20 September 2022. </w:t>
      </w:r>
    </w:p>
  </w:footnote>
  <w:footnote w:id="11">
    <w:p w14:paraId="3B61A5CA" w14:textId="5C4F9E73" w:rsidR="00E43796" w:rsidRPr="00BD11FE" w:rsidRDefault="00E43796">
      <w:pPr>
        <w:pStyle w:val="FootnoteText"/>
      </w:pPr>
      <w:r w:rsidRPr="00BD11FE">
        <w:rPr>
          <w:rStyle w:val="FootnoteReference"/>
        </w:rPr>
        <w:footnoteRef/>
      </w:r>
      <w:r w:rsidRPr="00BD11FE">
        <w:t xml:space="preserve"> </w:t>
      </w:r>
      <w:r w:rsidR="001A5D82" w:rsidRPr="00BD11FE">
        <w:t>AIHW</w:t>
      </w:r>
      <w:r w:rsidR="001C4857">
        <w:t xml:space="preserve"> (2019)</w:t>
      </w:r>
      <w:r w:rsidR="001A5D82" w:rsidRPr="00BD11FE">
        <w:t xml:space="preserve"> </w:t>
      </w:r>
      <w:hyperlink r:id="rId10" w:history="1">
        <w:r w:rsidR="001A5D82" w:rsidRPr="00BD11FE">
          <w:rPr>
            <w:rStyle w:val="Hyperlink"/>
            <w:i/>
          </w:rPr>
          <w:t>People in short-term or emergency accommodation: a profile of Specialist Homelessness Services clients</w:t>
        </w:r>
      </w:hyperlink>
      <w:r w:rsidR="001C4857">
        <w:t xml:space="preserve">. </w:t>
      </w:r>
      <w:r w:rsidR="00CB5454" w:rsidRPr="00BD11FE">
        <w:t>D</w:t>
      </w:r>
      <w:r w:rsidR="002E7588" w:rsidRPr="00BD11FE">
        <w:t>ata is for people who sought assistance from SHS between 1 July 2011 and 30 June 2015.</w:t>
      </w:r>
    </w:p>
  </w:footnote>
  <w:footnote w:id="12">
    <w:p w14:paraId="350B9F8B" w14:textId="77777777" w:rsidR="00F26365" w:rsidRPr="00BD11FE" w:rsidRDefault="00F26365" w:rsidP="00F26365">
      <w:pPr>
        <w:pStyle w:val="FootnoteText"/>
      </w:pPr>
      <w:r w:rsidRPr="00BD11FE">
        <w:rPr>
          <w:rStyle w:val="FootnoteReference"/>
        </w:rPr>
        <w:footnoteRef/>
      </w:r>
      <w:r w:rsidRPr="00BD11FE">
        <w:t xml:space="preserve"> </w:t>
      </w:r>
      <w:r w:rsidRPr="00BD11FE">
        <w:rPr>
          <w:rFonts w:cstheme="minorHAnsi"/>
        </w:rPr>
        <w:t>Australian Institute of Health and Welfare (AIHW) (2022)</w:t>
      </w:r>
      <w:hyperlink r:id="rId11" w:history="1">
        <w:r w:rsidRPr="00BD11FE">
          <w:rPr>
            <w:rStyle w:val="Hyperlink"/>
            <w:rFonts w:cstheme="minorHAnsi"/>
          </w:rPr>
          <w:t xml:space="preserve"> </w:t>
        </w:r>
        <w:r w:rsidRPr="00BD11FE">
          <w:rPr>
            <w:rStyle w:val="Hyperlink"/>
            <w:rFonts w:cstheme="minorHAnsi"/>
            <w:i/>
          </w:rPr>
          <w:t>Specialist Homelessness Services: Monthly data</w:t>
        </w:r>
      </w:hyperlink>
      <w:r w:rsidRPr="00BD11FE">
        <w:rPr>
          <w:rFonts w:cstheme="minorHAnsi"/>
        </w:rPr>
        <w:t>, Australian Government, accessed on 16 November 2022.</w:t>
      </w:r>
    </w:p>
  </w:footnote>
  <w:footnote w:id="13">
    <w:p w14:paraId="52E1FA29" w14:textId="68133FD2" w:rsidR="00E43796" w:rsidRPr="00BD11FE" w:rsidRDefault="00E43796">
      <w:pPr>
        <w:pStyle w:val="FootnoteText"/>
      </w:pPr>
      <w:r w:rsidRPr="00BD11FE">
        <w:rPr>
          <w:rStyle w:val="FootnoteReference"/>
        </w:rPr>
        <w:footnoteRef/>
      </w:r>
      <w:r w:rsidRPr="00BD11FE">
        <w:t xml:space="preserve"> AIHW (2022) </w:t>
      </w:r>
      <w:hyperlink r:id="rId12" w:history="1">
        <w:r w:rsidRPr="001C4857">
          <w:rPr>
            <w:rStyle w:val="Hyperlink"/>
            <w:i/>
          </w:rPr>
          <w:t>Homelessness and homelessness services</w:t>
        </w:r>
        <w:r w:rsidR="007C3AC2" w:rsidRPr="001C4857">
          <w:rPr>
            <w:rStyle w:val="Hyperlink"/>
            <w:i/>
          </w:rPr>
          <w:t xml:space="preserve"> 2020-21</w:t>
        </w:r>
      </w:hyperlink>
      <w:r w:rsidR="007C3AC2" w:rsidRPr="00BD11FE">
        <w:t>,</w:t>
      </w:r>
      <w:r w:rsidRPr="00BD11FE">
        <w:t xml:space="preserve"> released 7 December 2022.</w:t>
      </w:r>
    </w:p>
  </w:footnote>
  <w:footnote w:id="14">
    <w:p w14:paraId="61AA5067" w14:textId="70F29E8E" w:rsidR="003D5886" w:rsidRPr="00BD11FE" w:rsidRDefault="003D5886">
      <w:pPr>
        <w:pStyle w:val="FootnoteText"/>
      </w:pPr>
      <w:r w:rsidRPr="00BD11FE">
        <w:rPr>
          <w:rStyle w:val="FootnoteReference"/>
        </w:rPr>
        <w:footnoteRef/>
      </w:r>
      <w:r w:rsidRPr="00BD11FE">
        <w:t xml:space="preserve"> AIHW (2022) </w:t>
      </w:r>
      <w:hyperlink r:id="rId13" w:history="1">
        <w:r w:rsidRPr="001C4857">
          <w:rPr>
            <w:rStyle w:val="Hyperlink"/>
            <w:i/>
          </w:rPr>
          <w:t>Specialist homelessness services annual report 2020-21: Clients, services and outcomes</w:t>
        </w:r>
      </w:hyperlink>
      <w:r w:rsidRPr="00BD11FE">
        <w:t>.</w:t>
      </w:r>
    </w:p>
  </w:footnote>
  <w:footnote w:id="15">
    <w:p w14:paraId="340C4BD4" w14:textId="198BF405" w:rsidR="003D5886" w:rsidRPr="00BD11FE" w:rsidRDefault="003D5886">
      <w:pPr>
        <w:pStyle w:val="FootnoteText"/>
      </w:pPr>
      <w:r w:rsidRPr="00BD11FE">
        <w:rPr>
          <w:rStyle w:val="FootnoteReference"/>
        </w:rPr>
        <w:footnoteRef/>
      </w:r>
      <w:r w:rsidRPr="00BD11FE">
        <w:t xml:space="preserve"> </w:t>
      </w:r>
      <w:r w:rsidR="006D0259" w:rsidRPr="00BD11FE">
        <w:t>Ibid.</w:t>
      </w:r>
    </w:p>
  </w:footnote>
  <w:footnote w:id="16">
    <w:p w14:paraId="12FB5E2C" w14:textId="5E9FFA34" w:rsidR="001A0669" w:rsidRPr="00BD11FE" w:rsidRDefault="001A0669">
      <w:pPr>
        <w:pStyle w:val="FootnoteText"/>
      </w:pPr>
      <w:r w:rsidRPr="00BD11FE">
        <w:rPr>
          <w:rStyle w:val="FootnoteReference"/>
        </w:rPr>
        <w:footnoteRef/>
      </w:r>
      <w:r w:rsidRPr="00BD11FE">
        <w:t xml:space="preserve"> AIHW (2022) </w:t>
      </w:r>
      <w:hyperlink r:id="rId14" w:history="1">
        <w:r w:rsidRPr="00BD11FE">
          <w:rPr>
            <w:rStyle w:val="Hyperlink"/>
            <w:i/>
          </w:rPr>
          <w:t>Specialist homelessness services annual report 2020-21: Clients who have experienced family and domestic violence</w:t>
        </w:r>
      </w:hyperlink>
      <w:r w:rsidRPr="00BD11FE">
        <w:t>.</w:t>
      </w:r>
    </w:p>
  </w:footnote>
  <w:footnote w:id="17">
    <w:p w14:paraId="084C5201" w14:textId="5BA331F5" w:rsidR="001A0669" w:rsidRPr="001C4857" w:rsidRDefault="001A0669">
      <w:pPr>
        <w:pStyle w:val="FootnoteText"/>
        <w:rPr>
          <w:i/>
        </w:rPr>
      </w:pPr>
      <w:r w:rsidRPr="00BD11FE">
        <w:rPr>
          <w:rStyle w:val="FootnoteReference"/>
        </w:rPr>
        <w:footnoteRef/>
      </w:r>
      <w:r w:rsidRPr="00BD11FE">
        <w:t xml:space="preserve"> AIHW (2022) </w:t>
      </w:r>
      <w:hyperlink r:id="rId15" w:history="1">
        <w:r w:rsidRPr="00BD11FE">
          <w:rPr>
            <w:rStyle w:val="Hyperlink"/>
            <w:i/>
          </w:rPr>
          <w:t>Specialist homelessness services annual report 2020-21: Unmet demand for specialist homelessness services</w:t>
        </w:r>
      </w:hyperlink>
      <w:r w:rsidRPr="001C4857">
        <w:t>.</w:t>
      </w:r>
    </w:p>
  </w:footnote>
  <w:footnote w:id="18">
    <w:p w14:paraId="2401B9CF" w14:textId="77777777" w:rsidR="00936111" w:rsidRPr="00BD11FE" w:rsidRDefault="00936111" w:rsidP="00936111">
      <w:pPr>
        <w:pStyle w:val="FootnoteText"/>
        <w:rPr>
          <w:rFonts w:cstheme="minorHAnsi"/>
        </w:rPr>
      </w:pPr>
      <w:r w:rsidRPr="00BD11FE">
        <w:rPr>
          <w:rStyle w:val="FootnoteReference"/>
          <w:rFonts w:cstheme="minorHAnsi"/>
        </w:rPr>
        <w:footnoteRef/>
      </w:r>
      <w:r w:rsidRPr="00BD11FE">
        <w:rPr>
          <w:rFonts w:cstheme="minorHAnsi"/>
        </w:rPr>
        <w:t xml:space="preserve"> </w:t>
      </w:r>
      <w:r w:rsidRPr="00BD11FE">
        <w:rPr>
          <w:rFonts w:cstheme="minorHAnsi"/>
          <w:color w:val="000000"/>
        </w:rPr>
        <w:t>Australian Institute of Health and Welfare (AIHW) (</w:t>
      </w:r>
      <w:proofErr w:type="spellStart"/>
      <w:r w:rsidRPr="00BD11FE">
        <w:rPr>
          <w:rFonts w:cstheme="minorHAnsi"/>
          <w:color w:val="000000"/>
        </w:rPr>
        <w:t>n.d.</w:t>
      </w:r>
      <w:proofErr w:type="spellEnd"/>
      <w:r w:rsidRPr="00BD11FE">
        <w:rPr>
          <w:rFonts w:cstheme="minorHAnsi"/>
          <w:color w:val="000000"/>
        </w:rPr>
        <w:t xml:space="preserve">) </w:t>
      </w:r>
      <w:hyperlink r:id="rId16" w:history="1">
        <w:r w:rsidRPr="00BD11FE">
          <w:rPr>
            <w:rStyle w:val="Hyperlink"/>
            <w:rFonts w:cstheme="minorHAnsi"/>
            <w:i/>
          </w:rPr>
          <w:t>Housing assistance in Australia 2021</w:t>
        </w:r>
      </w:hyperlink>
      <w:r w:rsidRPr="00BD11FE">
        <w:rPr>
          <w:rFonts w:cstheme="minorHAnsi"/>
        </w:rPr>
        <w:t>, Priority groups and waiting lists,</w:t>
      </w:r>
      <w:r w:rsidRPr="00BD11FE">
        <w:rPr>
          <w:rFonts w:cstheme="minorHAnsi"/>
          <w:color w:val="000000"/>
        </w:rPr>
        <w:t xml:space="preserve"> released on 30 June 2021. Note t</w:t>
      </w:r>
      <w:r w:rsidRPr="00BD11FE">
        <w:rPr>
          <w:rFonts w:cstheme="minorHAnsi"/>
        </w:rPr>
        <w:t>hese figures do not take into consideration changes in the Australian population over the same period.</w:t>
      </w:r>
    </w:p>
  </w:footnote>
  <w:footnote w:id="19">
    <w:p w14:paraId="05123B32" w14:textId="3E4B55E7"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Australian Human Rights Commission (2020), </w:t>
      </w:r>
      <w:hyperlink r:id="rId17" w:history="1">
        <w:proofErr w:type="spellStart"/>
        <w:r w:rsidRPr="00BD11FE">
          <w:rPr>
            <w:rStyle w:val="Hyperlink"/>
            <w:rFonts w:cstheme="minorHAnsi"/>
            <w:i/>
          </w:rPr>
          <w:t>Wiyi</w:t>
        </w:r>
        <w:proofErr w:type="spellEnd"/>
        <w:r w:rsidRPr="00BD11FE">
          <w:rPr>
            <w:rStyle w:val="Hyperlink"/>
            <w:rFonts w:cstheme="minorHAnsi"/>
            <w:i/>
          </w:rPr>
          <w:t xml:space="preserve"> </w:t>
        </w:r>
        <w:proofErr w:type="spellStart"/>
        <w:r w:rsidRPr="00BD11FE">
          <w:rPr>
            <w:rStyle w:val="Hyperlink"/>
            <w:rFonts w:cstheme="minorHAnsi"/>
            <w:i/>
          </w:rPr>
          <w:t>Yani</w:t>
        </w:r>
        <w:proofErr w:type="spellEnd"/>
        <w:r w:rsidRPr="00BD11FE">
          <w:rPr>
            <w:rStyle w:val="Hyperlink"/>
            <w:rFonts w:cstheme="minorHAnsi"/>
            <w:i/>
          </w:rPr>
          <w:t xml:space="preserve"> U </w:t>
        </w:r>
        <w:proofErr w:type="spellStart"/>
        <w:r w:rsidRPr="00BD11FE">
          <w:rPr>
            <w:rStyle w:val="Hyperlink"/>
            <w:rFonts w:cstheme="minorHAnsi"/>
            <w:i/>
          </w:rPr>
          <w:t>Thangani</w:t>
        </w:r>
        <w:proofErr w:type="spellEnd"/>
        <w:r w:rsidRPr="00BD11FE">
          <w:rPr>
            <w:rStyle w:val="Hyperlink"/>
            <w:rFonts w:cstheme="minorHAnsi"/>
            <w:i/>
          </w:rPr>
          <w:t xml:space="preserve"> (Women’s Voices): Securing Our Rights, Securing Our Future</w:t>
        </w:r>
      </w:hyperlink>
      <w:r w:rsidRPr="00BD11FE">
        <w:rPr>
          <w:rFonts w:cstheme="minorHAnsi"/>
        </w:rPr>
        <w:t>, p 289.</w:t>
      </w:r>
    </w:p>
  </w:footnote>
  <w:footnote w:id="20">
    <w:p w14:paraId="27759A0C" w14:textId="77777777"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AIHW (2022) </w:t>
      </w:r>
      <w:hyperlink r:id="rId18" w:history="1">
        <w:r w:rsidRPr="00BD11FE">
          <w:rPr>
            <w:rStyle w:val="Hyperlink"/>
            <w:rFonts w:cstheme="minorHAnsi"/>
            <w:i/>
          </w:rPr>
          <w:t>Housing assistance in Australia 2020–21</w:t>
        </w:r>
      </w:hyperlink>
      <w:r w:rsidRPr="00BD11FE">
        <w:rPr>
          <w:rFonts w:cstheme="minorHAnsi"/>
        </w:rPr>
        <w:t>, accessed on 14 October 2022.</w:t>
      </w:r>
    </w:p>
  </w:footnote>
  <w:footnote w:id="21">
    <w:p w14:paraId="65A390A1" w14:textId="2CD2CE33"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AIHW (</w:t>
      </w:r>
      <w:proofErr w:type="spellStart"/>
      <w:r w:rsidRPr="00BD11FE">
        <w:rPr>
          <w:rFonts w:cstheme="minorHAnsi"/>
        </w:rPr>
        <w:t>n.d.</w:t>
      </w:r>
      <w:proofErr w:type="spellEnd"/>
      <w:r w:rsidRPr="00BD11FE">
        <w:rPr>
          <w:rFonts w:cstheme="minorHAnsi"/>
        </w:rPr>
        <w:t xml:space="preserve">) </w:t>
      </w:r>
      <w:hyperlink r:id="rId19" w:history="1">
        <w:r w:rsidRPr="00BD11FE">
          <w:rPr>
            <w:rStyle w:val="Hyperlink"/>
            <w:rFonts w:cstheme="minorHAnsi"/>
            <w:i/>
          </w:rPr>
          <w:t>Indigenous housing</w:t>
        </w:r>
      </w:hyperlink>
      <w:r w:rsidRPr="00BD11FE">
        <w:rPr>
          <w:rFonts w:cstheme="minorHAnsi"/>
          <w:color w:val="000000"/>
        </w:rPr>
        <w:t>, released on 16 September 2021.</w:t>
      </w:r>
    </w:p>
  </w:footnote>
  <w:footnote w:id="22">
    <w:p w14:paraId="4EF05B43" w14:textId="06D13BD3"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Productivity Commission (2022) </w:t>
      </w:r>
      <w:hyperlink r:id="rId20" w:history="1">
        <w:r w:rsidRPr="00BD11FE">
          <w:rPr>
            <w:rStyle w:val="Hyperlink"/>
            <w:rFonts w:cstheme="minorHAnsi"/>
            <w:i/>
          </w:rPr>
          <w:t>18 Housing - Report on Government Services 202</w:t>
        </w:r>
        <w:r w:rsidRPr="00BD11FE">
          <w:rPr>
            <w:rStyle w:val="Hyperlink"/>
            <w:rFonts w:cstheme="minorHAnsi"/>
          </w:rPr>
          <w:t>2</w:t>
        </w:r>
      </w:hyperlink>
      <w:r w:rsidRPr="00BD11FE">
        <w:rPr>
          <w:rFonts w:cstheme="minorHAnsi"/>
        </w:rPr>
        <w:t>, Housing data tables, Tables 18A.6 &amp; 18A.8.</w:t>
      </w:r>
    </w:p>
  </w:footnote>
  <w:footnote w:id="23">
    <w:p w14:paraId="4C5AA165" w14:textId="2CC0894E" w:rsidR="00445FD1" w:rsidRPr="00BD11FE" w:rsidRDefault="00445FD1">
      <w:pPr>
        <w:pStyle w:val="FootnoteText"/>
        <w:rPr>
          <w:i/>
        </w:rPr>
      </w:pPr>
      <w:r w:rsidRPr="00BD11FE">
        <w:rPr>
          <w:rStyle w:val="FootnoteReference"/>
        </w:rPr>
        <w:footnoteRef/>
      </w:r>
      <w:r w:rsidRPr="00BD11FE">
        <w:t xml:space="preserve"> </w:t>
      </w:r>
      <w:r w:rsidRPr="00BD11FE">
        <w:rPr>
          <w:rFonts w:cstheme="minorHAnsi"/>
        </w:rPr>
        <w:t xml:space="preserve">Australian </w:t>
      </w:r>
      <w:r w:rsidR="001C4857">
        <w:rPr>
          <w:rFonts w:cstheme="minorHAnsi"/>
        </w:rPr>
        <w:t xml:space="preserve">Human Rights Commission (2020) </w:t>
      </w:r>
      <w:hyperlink r:id="rId21" w:history="1">
        <w:proofErr w:type="spellStart"/>
        <w:r w:rsidR="001C4857" w:rsidRPr="001C4857">
          <w:rPr>
            <w:rStyle w:val="Hyperlink"/>
            <w:rFonts w:cstheme="minorHAnsi"/>
            <w:i/>
          </w:rPr>
          <w:t>Wiyi</w:t>
        </w:r>
        <w:proofErr w:type="spellEnd"/>
        <w:r w:rsidR="001C4857" w:rsidRPr="001C4857">
          <w:rPr>
            <w:rStyle w:val="Hyperlink"/>
            <w:rFonts w:cstheme="minorHAnsi"/>
            <w:i/>
          </w:rPr>
          <w:t xml:space="preserve"> </w:t>
        </w:r>
        <w:proofErr w:type="spellStart"/>
        <w:r w:rsidR="001C4857" w:rsidRPr="001C4857">
          <w:rPr>
            <w:rStyle w:val="Hyperlink"/>
            <w:rFonts w:cstheme="minorHAnsi"/>
            <w:i/>
          </w:rPr>
          <w:t>Yani</w:t>
        </w:r>
        <w:proofErr w:type="spellEnd"/>
        <w:r w:rsidR="001C4857" w:rsidRPr="001C4857">
          <w:rPr>
            <w:rStyle w:val="Hyperlink"/>
            <w:rFonts w:cstheme="minorHAnsi"/>
            <w:i/>
          </w:rPr>
          <w:t xml:space="preserve"> U </w:t>
        </w:r>
        <w:proofErr w:type="spellStart"/>
        <w:r w:rsidR="001C4857" w:rsidRPr="001C4857">
          <w:rPr>
            <w:rStyle w:val="Hyperlink"/>
            <w:rFonts w:cstheme="minorHAnsi"/>
            <w:i/>
          </w:rPr>
          <w:t>Thangani</w:t>
        </w:r>
        <w:proofErr w:type="spellEnd"/>
        <w:r w:rsidR="001C4857" w:rsidRPr="001C4857">
          <w:rPr>
            <w:rStyle w:val="Hyperlink"/>
            <w:rFonts w:cstheme="minorHAnsi"/>
            <w:i/>
          </w:rPr>
          <w:t xml:space="preserve"> Report</w:t>
        </w:r>
      </w:hyperlink>
      <w:r w:rsidRPr="001C4857">
        <w:rPr>
          <w:rFonts w:cstheme="minorHAnsi"/>
          <w:i/>
        </w:rPr>
        <w:t>,</w:t>
      </w:r>
      <w:r w:rsidRPr="00BD11FE">
        <w:rPr>
          <w:rFonts w:cstheme="minorHAnsi"/>
        </w:rPr>
        <w:t xml:space="preserve"> p 288.</w:t>
      </w:r>
    </w:p>
  </w:footnote>
  <w:footnote w:id="24">
    <w:p w14:paraId="75E9ECF5" w14:textId="21C4C248"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Department of Social Services (2022) </w:t>
      </w:r>
      <w:hyperlink r:id="rId22" w:history="1">
        <w:r w:rsidRPr="001C4857">
          <w:rPr>
            <w:rStyle w:val="Hyperlink"/>
            <w:rFonts w:cstheme="minorHAnsi"/>
            <w:i/>
          </w:rPr>
          <w:t>Submission to Productivity Commission Review of the National Housing and Homelessness Agreement</w:t>
        </w:r>
      </w:hyperlink>
      <w:r w:rsidRPr="00BD11FE">
        <w:rPr>
          <w:rFonts w:cstheme="minorHAnsi"/>
        </w:rPr>
        <w:t>, p 16.</w:t>
      </w:r>
    </w:p>
  </w:footnote>
  <w:footnote w:id="25">
    <w:p w14:paraId="54193019" w14:textId="1A3DE14F" w:rsidR="00E86D88" w:rsidRDefault="00E86D88">
      <w:pPr>
        <w:pStyle w:val="FootnoteText"/>
      </w:pPr>
      <w:r>
        <w:rPr>
          <w:rStyle w:val="FootnoteReference"/>
        </w:rPr>
        <w:footnoteRef/>
      </w:r>
      <w:r>
        <w:t xml:space="preserve"> </w:t>
      </w:r>
      <w:proofErr w:type="spellStart"/>
      <w:r>
        <w:t>Leptos</w:t>
      </w:r>
      <w:proofErr w:type="spellEnd"/>
      <w:r>
        <w:t xml:space="preserve">, C., </w:t>
      </w:r>
      <w:r>
        <w:rPr>
          <w:i/>
        </w:rPr>
        <w:t>Statutory Review into the Operation of the National Housing Finance and Investment Corporation Act 2018</w:t>
      </w:r>
      <w:r>
        <w:t>, Australian Government, Final Report, p 30.</w:t>
      </w:r>
    </w:p>
  </w:footnote>
  <w:footnote w:id="26">
    <w:p w14:paraId="3E31D724" w14:textId="2FCC41AE" w:rsidR="00DA6D47" w:rsidRDefault="00DA6D47">
      <w:pPr>
        <w:pStyle w:val="FootnoteText"/>
      </w:pPr>
      <w:r>
        <w:rPr>
          <w:rStyle w:val="FootnoteReference"/>
        </w:rPr>
        <w:footnoteRef/>
      </w:r>
      <w:r>
        <w:t xml:space="preserve"> </w:t>
      </w:r>
      <w:proofErr w:type="spellStart"/>
      <w:r>
        <w:t>CoreLogic</w:t>
      </w:r>
      <w:proofErr w:type="spellEnd"/>
      <w:r>
        <w:t xml:space="preserve"> data released in November 2022.</w:t>
      </w:r>
    </w:p>
  </w:footnote>
  <w:footnote w:id="27">
    <w:p w14:paraId="2A34681E" w14:textId="6335D707"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Productivity Commission (2019) </w:t>
      </w:r>
      <w:hyperlink r:id="rId23" w:history="1">
        <w:r w:rsidRPr="00BD11FE">
          <w:rPr>
            <w:rStyle w:val="Hyperlink"/>
            <w:rFonts w:cstheme="minorHAnsi"/>
            <w:i/>
          </w:rPr>
          <w:t>Vulnerable Private Renters: Evidence and Options</w:t>
        </w:r>
      </w:hyperlink>
      <w:r w:rsidRPr="00BD11FE">
        <w:rPr>
          <w:rFonts w:cstheme="minorHAnsi"/>
        </w:rPr>
        <w:t>, Productivity Commission Research Paper, p 6.</w:t>
      </w:r>
    </w:p>
  </w:footnote>
  <w:footnote w:id="28">
    <w:p w14:paraId="378B1D24" w14:textId="51805EA5"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Ibid, p 4.</w:t>
      </w:r>
    </w:p>
  </w:footnote>
  <w:footnote w:id="29">
    <w:p w14:paraId="6EE9CA89" w14:textId="03DE346A"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Ibid, p 6.</w:t>
      </w:r>
    </w:p>
  </w:footnote>
  <w:footnote w:id="30">
    <w:p w14:paraId="1A0BEF85" w14:textId="4BB76BB2" w:rsidR="00445FD1" w:rsidRPr="00BD11FE" w:rsidRDefault="00445FD1" w:rsidP="00C25FD8">
      <w:pPr>
        <w:pStyle w:val="FootnoteText"/>
        <w:rPr>
          <w:rFonts w:cstheme="minorHAnsi"/>
        </w:rPr>
      </w:pPr>
      <w:r w:rsidRPr="00BD11FE">
        <w:rPr>
          <w:rStyle w:val="FootnoteReference"/>
          <w:rFonts w:cstheme="minorHAnsi"/>
        </w:rPr>
        <w:footnoteRef/>
      </w:r>
      <w:r w:rsidR="00EE4A64">
        <w:rPr>
          <w:rFonts w:cstheme="minorHAnsi"/>
        </w:rPr>
        <w:t xml:space="preserve"> Power E (2020)</w:t>
      </w:r>
      <w:r w:rsidRPr="00BD11FE">
        <w:rPr>
          <w:rFonts w:cstheme="minorHAnsi"/>
        </w:rPr>
        <w:t xml:space="preserve"> </w:t>
      </w:r>
      <w:hyperlink r:id="rId24" w:history="1">
        <w:r w:rsidRPr="00BD11FE">
          <w:rPr>
            <w:rStyle w:val="Hyperlink"/>
            <w:rFonts w:cstheme="minorHAnsi"/>
            <w:i/>
          </w:rPr>
          <w:t>Older Women in the Private Rental Sector: Unaffordable, Substandard and Insecure Housing</w:t>
        </w:r>
      </w:hyperlink>
      <w:r w:rsidRPr="00BD11FE">
        <w:rPr>
          <w:rFonts w:cstheme="minorHAnsi"/>
        </w:rPr>
        <w:t>, Western Sydney University, p 12.</w:t>
      </w:r>
    </w:p>
  </w:footnote>
  <w:footnote w:id="31">
    <w:p w14:paraId="56F07DA2" w14:textId="77777777" w:rsidR="00445FD1" w:rsidRPr="00BD11FE" w:rsidRDefault="00445FD1" w:rsidP="00C25FD8">
      <w:pPr>
        <w:pStyle w:val="FootnoteText"/>
        <w:rPr>
          <w:rFonts w:cstheme="minorHAnsi"/>
        </w:rPr>
      </w:pPr>
      <w:r w:rsidRPr="00BD11FE">
        <w:rPr>
          <w:rStyle w:val="FootnoteReference"/>
          <w:rFonts w:cstheme="minorHAnsi"/>
        </w:rPr>
        <w:footnoteRef/>
      </w:r>
      <w:r w:rsidRPr="00BD11FE">
        <w:rPr>
          <w:rFonts w:cstheme="minorHAnsi"/>
        </w:rPr>
        <w:t xml:space="preserve"> Australian Human Rights Commission (AHRC</w:t>
      </w:r>
      <w:proofErr w:type="gramStart"/>
      <w:r w:rsidRPr="00BD11FE">
        <w:rPr>
          <w:rFonts w:cstheme="minorHAnsi"/>
        </w:rPr>
        <w:t>)(</w:t>
      </w:r>
      <w:proofErr w:type="gramEnd"/>
      <w:r w:rsidRPr="00BD11FE">
        <w:rPr>
          <w:rFonts w:cstheme="minorHAnsi"/>
        </w:rPr>
        <w:t xml:space="preserve">2019) </w:t>
      </w:r>
      <w:r w:rsidRPr="00BD11FE">
        <w:rPr>
          <w:rFonts w:cstheme="minorHAnsi"/>
          <w:i/>
        </w:rPr>
        <w:t xml:space="preserve">Older women’s risk of homelessness: background Paper, </w:t>
      </w:r>
      <w:r w:rsidRPr="00BD11FE">
        <w:rPr>
          <w:rFonts w:cstheme="minorHAnsi"/>
        </w:rPr>
        <w:t>AHRC, Sydney.</w:t>
      </w:r>
    </w:p>
  </w:footnote>
  <w:footnote w:id="32">
    <w:p w14:paraId="63109228" w14:textId="6B1478F3" w:rsidR="00445FD1" w:rsidRPr="00BD11FE" w:rsidRDefault="00445FD1" w:rsidP="00C25FD8">
      <w:pPr>
        <w:pStyle w:val="FootnoteText"/>
        <w:rPr>
          <w:rFonts w:cstheme="minorHAnsi"/>
        </w:rPr>
      </w:pPr>
      <w:r w:rsidRPr="00BD11FE">
        <w:rPr>
          <w:rStyle w:val="FootnoteReference"/>
          <w:rFonts w:cstheme="minorHAnsi"/>
        </w:rPr>
        <w:footnoteRef/>
      </w:r>
      <w:r w:rsidR="00D14BA5">
        <w:rPr>
          <w:rFonts w:cstheme="minorHAnsi"/>
        </w:rPr>
        <w:t xml:space="preserve"> Power E</w:t>
      </w:r>
      <w:r w:rsidRPr="00BD11FE">
        <w:rPr>
          <w:rFonts w:cstheme="minorHAnsi"/>
        </w:rPr>
        <w:t xml:space="preserve"> (2020) </w:t>
      </w:r>
      <w:hyperlink r:id="rId25" w:history="1">
        <w:r w:rsidRPr="00BD11FE">
          <w:rPr>
            <w:rStyle w:val="Hyperlink"/>
            <w:rFonts w:cstheme="minorHAnsi"/>
            <w:i/>
          </w:rPr>
          <w:t>Older Women in the Private Rental Sector: Unaffordable, Substandard and Insecure Housing</w:t>
        </w:r>
      </w:hyperlink>
      <w:r w:rsidRPr="00BD11FE">
        <w:rPr>
          <w:rFonts w:cstheme="minorHAnsi"/>
        </w:rPr>
        <w:t>, Western Sydney University, p 4.</w:t>
      </w:r>
    </w:p>
  </w:footnote>
  <w:footnote w:id="33">
    <w:p w14:paraId="7AD709E8" w14:textId="0469916A" w:rsidR="00445FD1" w:rsidRPr="00BD11FE" w:rsidRDefault="00445FD1">
      <w:pPr>
        <w:pStyle w:val="FootnoteText"/>
      </w:pPr>
      <w:r w:rsidRPr="00BD11FE">
        <w:rPr>
          <w:rStyle w:val="FootnoteReference"/>
        </w:rPr>
        <w:footnoteRef/>
      </w:r>
      <w:r w:rsidRPr="00BD11FE">
        <w:t xml:space="preserve"> Productivity Commission (2020) </w:t>
      </w:r>
      <w:hyperlink r:id="rId26" w:history="1">
        <w:r w:rsidRPr="00BD11FE">
          <w:rPr>
            <w:rStyle w:val="Hyperlink"/>
            <w:i/>
          </w:rPr>
          <w:t>In Need of Repair: The National Housing and Homelessness Agreement</w:t>
        </w:r>
      </w:hyperlink>
      <w:r w:rsidRPr="00BD11FE">
        <w:t>, p 340.</w:t>
      </w:r>
    </w:p>
  </w:footnote>
  <w:footnote w:id="34">
    <w:p w14:paraId="7C0BB3D4" w14:textId="28B9ED60" w:rsidR="00445FD1" w:rsidRPr="00BD11FE" w:rsidRDefault="00445FD1" w:rsidP="00C036DF">
      <w:pPr>
        <w:pStyle w:val="FootnoteText"/>
      </w:pPr>
      <w:r w:rsidRPr="00BD11FE">
        <w:rPr>
          <w:rStyle w:val="FootnoteReference"/>
        </w:rPr>
        <w:footnoteRef/>
      </w:r>
      <w:r w:rsidRPr="00BD11FE">
        <w:t xml:space="preserve"> </w:t>
      </w:r>
      <w:proofErr w:type="spellStart"/>
      <w:r w:rsidRPr="00BD11FE">
        <w:t>Maalsen</w:t>
      </w:r>
      <w:proofErr w:type="spellEnd"/>
      <w:r w:rsidRPr="00BD11FE">
        <w:t xml:space="preserve"> S, </w:t>
      </w:r>
      <w:proofErr w:type="spellStart"/>
      <w:r w:rsidRPr="00BD11FE">
        <w:t>W</w:t>
      </w:r>
      <w:r w:rsidR="00D14BA5">
        <w:t>olifson</w:t>
      </w:r>
      <w:proofErr w:type="spellEnd"/>
      <w:r w:rsidR="00D14BA5">
        <w:t xml:space="preserve"> P, Rogers D, Nelson J </w:t>
      </w:r>
      <w:r w:rsidRPr="00BD11FE">
        <w:t xml:space="preserve">and Buckle C. (2021) </w:t>
      </w:r>
      <w:hyperlink r:id="rId27" w:history="1">
        <w:r w:rsidRPr="00BD11FE">
          <w:rPr>
            <w:rStyle w:val="Hyperlink"/>
            <w:i/>
          </w:rPr>
          <w:t>Understanding discrimination effects in private rental housing</w:t>
        </w:r>
      </w:hyperlink>
      <w:r w:rsidRPr="00BD11FE">
        <w:t xml:space="preserve">, AHURI Final Report No. 363, Australian Housing and Urban Research Institute Limited, Melbourne, p 25. </w:t>
      </w:r>
    </w:p>
  </w:footnote>
  <w:footnote w:id="35">
    <w:p w14:paraId="67FEC5EC" w14:textId="44D7D8ED" w:rsidR="00445FD1" w:rsidRPr="00BD11FE" w:rsidRDefault="00445FD1" w:rsidP="00C036DF">
      <w:pPr>
        <w:pStyle w:val="FootnoteText"/>
      </w:pPr>
      <w:r w:rsidRPr="00BD11FE">
        <w:rPr>
          <w:rStyle w:val="FootnoteReference"/>
        </w:rPr>
        <w:footnoteRef/>
      </w:r>
      <w:r w:rsidRPr="00BD11FE">
        <w:t xml:space="preserve"> Ibid, p 27 and 32.</w:t>
      </w:r>
    </w:p>
  </w:footnote>
  <w:footnote w:id="36">
    <w:p w14:paraId="33FBDCF4" w14:textId="16439B13" w:rsidR="00445FD1" w:rsidRPr="00BD11FE" w:rsidRDefault="00445FD1" w:rsidP="00C036DF">
      <w:pPr>
        <w:pStyle w:val="FootnoteText"/>
      </w:pPr>
      <w:r w:rsidRPr="00BD11FE">
        <w:rPr>
          <w:rStyle w:val="FootnoteReference"/>
        </w:rPr>
        <w:footnoteRef/>
      </w:r>
      <w:r w:rsidRPr="00BD11FE">
        <w:t xml:space="preserve"> Ibid, p 35.</w:t>
      </w:r>
    </w:p>
  </w:footnote>
  <w:footnote w:id="37">
    <w:p w14:paraId="60585DE5" w14:textId="4FFE65E3" w:rsidR="00445FD1" w:rsidRPr="00BD11FE" w:rsidRDefault="00445FD1" w:rsidP="00C036DF">
      <w:pPr>
        <w:pStyle w:val="FootnoteText"/>
      </w:pPr>
      <w:r w:rsidRPr="00BD11FE">
        <w:rPr>
          <w:rStyle w:val="FootnoteReference"/>
        </w:rPr>
        <w:footnoteRef/>
      </w:r>
      <w:r w:rsidRPr="00BD11FE">
        <w:t xml:space="preserve"> Ibid, p 38.</w:t>
      </w:r>
    </w:p>
  </w:footnote>
  <w:footnote w:id="38">
    <w:p w14:paraId="17BE31FC" w14:textId="11C678D6" w:rsidR="00445FD1" w:rsidRPr="00BD11FE" w:rsidRDefault="00445FD1">
      <w:pPr>
        <w:pStyle w:val="FootnoteText"/>
      </w:pPr>
      <w:r w:rsidRPr="00BD11FE">
        <w:rPr>
          <w:rStyle w:val="FootnoteReference"/>
        </w:rPr>
        <w:footnoteRef/>
      </w:r>
      <w:r w:rsidRPr="00BD11FE">
        <w:t xml:space="preserve"> Productivity Commission (2020) </w:t>
      </w:r>
      <w:hyperlink r:id="rId28" w:history="1">
        <w:r w:rsidRPr="00BD11FE">
          <w:rPr>
            <w:rStyle w:val="Hyperlink"/>
            <w:i/>
          </w:rPr>
          <w:t>In Need of Repair: The National Housing and Homelessness Agreement</w:t>
        </w:r>
      </w:hyperlink>
      <w:r w:rsidRPr="00BD11FE">
        <w:t>, p 415.</w:t>
      </w:r>
    </w:p>
  </w:footnote>
  <w:footnote w:id="39">
    <w:p w14:paraId="5B647421" w14:textId="37300C8F" w:rsidR="002E7588" w:rsidRPr="00BD11FE" w:rsidRDefault="002E7588">
      <w:pPr>
        <w:pStyle w:val="FootnoteText"/>
      </w:pPr>
      <w:r w:rsidRPr="00BD11FE">
        <w:rPr>
          <w:rStyle w:val="FootnoteReference"/>
        </w:rPr>
        <w:footnoteRef/>
      </w:r>
      <w:r w:rsidRPr="00BD11FE">
        <w:t xml:space="preserve"> </w:t>
      </w:r>
      <w:proofErr w:type="spellStart"/>
      <w:r w:rsidR="00EE4A64">
        <w:t>Viforj</w:t>
      </w:r>
      <w:proofErr w:type="spellEnd"/>
      <w:r w:rsidR="00EE4A64">
        <w:t xml:space="preserve">, R, Singh R, Baker E, Bentley R and </w:t>
      </w:r>
      <w:proofErr w:type="spellStart"/>
      <w:r w:rsidR="00EE4A64">
        <w:t>Hewton</w:t>
      </w:r>
      <w:proofErr w:type="spellEnd"/>
      <w:r w:rsidR="00EE4A64">
        <w:t xml:space="preserve"> J </w:t>
      </w:r>
      <w:r w:rsidR="004D5996" w:rsidRPr="00BD11FE">
        <w:t xml:space="preserve">(2022) </w:t>
      </w:r>
      <w:hyperlink r:id="rId29" w:history="1">
        <w:r w:rsidRPr="001C4857">
          <w:rPr>
            <w:rStyle w:val="Hyperlink"/>
            <w:i/>
          </w:rPr>
          <w:t>Precarious housing and wellbeing: a multi-dimensional investigation (ahuri.edu.au)</w:t>
        </w:r>
      </w:hyperlink>
      <w:r w:rsidR="004D5996" w:rsidRPr="00BD11FE">
        <w:t xml:space="preserve">, AHURI Final Report No. 73, </w:t>
      </w:r>
      <w:r w:rsidRPr="00BD11FE">
        <w:t>at p 1.</w:t>
      </w:r>
    </w:p>
  </w:footnote>
  <w:footnote w:id="40">
    <w:p w14:paraId="54232AC6" w14:textId="7835B304" w:rsidR="002E7588" w:rsidRPr="00BD11FE" w:rsidRDefault="002E7588">
      <w:pPr>
        <w:pStyle w:val="FootnoteText"/>
      </w:pPr>
      <w:r w:rsidRPr="00BD11FE">
        <w:rPr>
          <w:rStyle w:val="FootnoteReference"/>
        </w:rPr>
        <w:footnoteRef/>
      </w:r>
      <w:r w:rsidRPr="00BD11FE">
        <w:t xml:space="preserve"> </w:t>
      </w:r>
      <w:r w:rsidR="004D5996" w:rsidRPr="00BD11FE">
        <w:t xml:space="preserve">Ibid </w:t>
      </w:r>
      <w:r w:rsidR="001C027E">
        <w:t>at p</w:t>
      </w:r>
      <w:r w:rsidRPr="00BD11FE">
        <w:t xml:space="preserve"> 11.</w:t>
      </w:r>
    </w:p>
  </w:footnote>
  <w:footnote w:id="41">
    <w:p w14:paraId="3A1723B7" w14:textId="569BDE0D" w:rsidR="000E5C44" w:rsidRPr="00BD11FE" w:rsidRDefault="000E5C44" w:rsidP="000E5C44">
      <w:pPr>
        <w:pStyle w:val="FootnoteText"/>
      </w:pPr>
      <w:r w:rsidRPr="00BD11FE">
        <w:rPr>
          <w:rStyle w:val="FootnoteReference"/>
        </w:rPr>
        <w:footnoteRef/>
      </w:r>
      <w:r w:rsidRPr="00BD11FE">
        <w:t xml:space="preserve"> </w:t>
      </w:r>
      <w:proofErr w:type="spellStart"/>
      <w:r w:rsidRPr="00BD11FE">
        <w:t>Darab</w:t>
      </w:r>
      <w:proofErr w:type="spellEnd"/>
      <w:r w:rsidR="008403B4">
        <w:t xml:space="preserve"> S, Hartman Y and </w:t>
      </w:r>
      <w:proofErr w:type="spellStart"/>
      <w:r w:rsidR="008403B4">
        <w:t>Holdsworth</w:t>
      </w:r>
      <w:proofErr w:type="spellEnd"/>
      <w:r w:rsidR="008403B4">
        <w:t xml:space="preserve"> L </w:t>
      </w:r>
      <w:r w:rsidR="00DB7951">
        <w:t>(2018)</w:t>
      </w:r>
      <w:r w:rsidRPr="00BD11FE">
        <w:t xml:space="preserve"> </w:t>
      </w:r>
      <w:r w:rsidR="00DB7951">
        <w:t>‘</w:t>
      </w:r>
      <w:r w:rsidRPr="008403B4">
        <w:t>What women want: single older women and their housing preferences</w:t>
      </w:r>
      <w:r w:rsidR="00DB7951">
        <w:t>’</w:t>
      </w:r>
      <w:r w:rsidR="008403B4">
        <w:t>,</w:t>
      </w:r>
      <w:r w:rsidRPr="00BD11FE">
        <w:t xml:space="preserve"> </w:t>
      </w:r>
      <w:r w:rsidRPr="008403B4">
        <w:rPr>
          <w:i/>
        </w:rPr>
        <w:t>Housing Studies</w:t>
      </w:r>
      <w:r w:rsidRPr="00BD11FE">
        <w:t>, 33(4), p. 533</w:t>
      </w:r>
    </w:p>
  </w:footnote>
  <w:footnote w:id="42">
    <w:p w14:paraId="12116F90" w14:textId="483F4EB4" w:rsidR="005E65E7" w:rsidRPr="001C027E" w:rsidRDefault="005E65E7">
      <w:pPr>
        <w:pStyle w:val="FootnoteText"/>
      </w:pPr>
      <w:r w:rsidRPr="00BD11FE">
        <w:rPr>
          <w:rStyle w:val="FootnoteReference"/>
        </w:rPr>
        <w:footnoteRef/>
      </w:r>
      <w:r w:rsidR="001C027E">
        <w:t xml:space="preserve"> Grattan (</w:t>
      </w:r>
      <w:r w:rsidRPr="00BD11FE">
        <w:t xml:space="preserve">2022) </w:t>
      </w:r>
      <w:hyperlink r:id="rId30" w:history="1">
        <w:r w:rsidRPr="001C027E">
          <w:rPr>
            <w:rStyle w:val="Hyperlink"/>
            <w:i/>
          </w:rPr>
          <w:t xml:space="preserve">The Housing Game has </w:t>
        </w:r>
        <w:proofErr w:type="gramStart"/>
        <w:r w:rsidRPr="001C027E">
          <w:rPr>
            <w:rStyle w:val="Hyperlink"/>
            <w:i/>
          </w:rPr>
          <w:t>Change</w:t>
        </w:r>
        <w:r w:rsidR="001C027E" w:rsidRPr="001C027E">
          <w:rPr>
            <w:rStyle w:val="Hyperlink"/>
            <w:i/>
          </w:rPr>
          <w:t>d</w:t>
        </w:r>
        <w:proofErr w:type="gramEnd"/>
        <w:r w:rsidR="001C027E" w:rsidRPr="001C027E">
          <w:rPr>
            <w:rStyle w:val="Hyperlink"/>
            <w:i/>
          </w:rPr>
          <w:t xml:space="preserve"> – Millennials Have it Harder</w:t>
        </w:r>
      </w:hyperlink>
      <w:r w:rsidR="001C027E">
        <w:t>, released June 2022.</w:t>
      </w:r>
    </w:p>
  </w:footnote>
  <w:footnote w:id="43">
    <w:p w14:paraId="679257DE" w14:textId="7C819A2A" w:rsidR="005E65E7" w:rsidRPr="00BD11FE" w:rsidRDefault="005E65E7">
      <w:pPr>
        <w:pStyle w:val="FootnoteText"/>
      </w:pPr>
      <w:r w:rsidRPr="00BD11FE">
        <w:rPr>
          <w:rStyle w:val="FootnoteReference"/>
        </w:rPr>
        <w:footnoteRef/>
      </w:r>
      <w:r w:rsidR="00DB7951">
        <w:t xml:space="preserve"> Owen </w:t>
      </w:r>
      <w:r w:rsidR="00D14BA5">
        <w:t>E</w:t>
      </w:r>
      <w:r w:rsidR="00DB7951">
        <w:t xml:space="preserve"> (2022) </w:t>
      </w:r>
      <w:r w:rsidR="00DB7951" w:rsidRPr="00DB7951">
        <w:rPr>
          <w:i/>
        </w:rPr>
        <w:t>Women and Property: One Year On</w:t>
      </w:r>
      <w:r w:rsidR="00DB7951">
        <w:t>,</w:t>
      </w:r>
      <w:r w:rsidRPr="00BD11FE">
        <w:t xml:space="preserve"> </w:t>
      </w:r>
      <w:proofErr w:type="spellStart"/>
      <w:r w:rsidRPr="00DB7951">
        <w:t>CoreLogic</w:t>
      </w:r>
      <w:proofErr w:type="spellEnd"/>
      <w:r w:rsidRPr="00DB7951">
        <w:t>,</w:t>
      </w:r>
      <w:r w:rsidR="00DB7951">
        <w:t xml:space="preserve"> pp</w:t>
      </w:r>
      <w:r w:rsidRPr="001C4857">
        <w:t xml:space="preserve"> 5 and 7 – This data is indicative, as the report relies on gender assumptions around first names.</w:t>
      </w:r>
    </w:p>
  </w:footnote>
  <w:footnote w:id="44">
    <w:p w14:paraId="32A46826" w14:textId="2C3A6B06" w:rsidR="00830BBD" w:rsidRPr="00BD11FE" w:rsidRDefault="00830BBD">
      <w:pPr>
        <w:pStyle w:val="FootnoteText"/>
      </w:pPr>
      <w:r w:rsidRPr="00BD11FE">
        <w:rPr>
          <w:rStyle w:val="FootnoteReference"/>
        </w:rPr>
        <w:footnoteRef/>
      </w:r>
      <w:r w:rsidRPr="00BD11FE">
        <w:t xml:space="preserve"> </w:t>
      </w:r>
      <w:r w:rsidR="008403B4">
        <w:t>Ibid,</w:t>
      </w:r>
      <w:r w:rsidRPr="001C4857">
        <w:t xml:space="preserve"> p 22.</w:t>
      </w:r>
    </w:p>
  </w:footnote>
  <w:footnote w:id="45">
    <w:p w14:paraId="70B5DCA6" w14:textId="5B6BD144" w:rsidR="00B305F5" w:rsidRPr="00BD11FE" w:rsidRDefault="00B305F5">
      <w:pPr>
        <w:pStyle w:val="FootnoteText"/>
      </w:pPr>
      <w:r w:rsidRPr="00BD11FE">
        <w:rPr>
          <w:rStyle w:val="FootnoteReference"/>
        </w:rPr>
        <w:footnoteRef/>
      </w:r>
      <w:r w:rsidRPr="00BD11FE">
        <w:t xml:space="preserve"> </w:t>
      </w:r>
      <w:r w:rsidR="008403B4">
        <w:rPr>
          <w:rFonts w:cstheme="minorHAnsi"/>
        </w:rPr>
        <w:t xml:space="preserve">Beer A and </w:t>
      </w:r>
      <w:proofErr w:type="spellStart"/>
      <w:r w:rsidR="008403B4">
        <w:rPr>
          <w:rFonts w:cstheme="minorHAnsi"/>
        </w:rPr>
        <w:t>Faulker</w:t>
      </w:r>
      <w:proofErr w:type="spellEnd"/>
      <w:r w:rsidR="008403B4">
        <w:rPr>
          <w:rFonts w:cstheme="minorHAnsi"/>
        </w:rPr>
        <w:t xml:space="preserve"> D</w:t>
      </w:r>
      <w:r w:rsidRPr="001C4857">
        <w:rPr>
          <w:rFonts w:cstheme="minorHAnsi"/>
        </w:rPr>
        <w:t xml:space="preserve"> (2009) </w:t>
      </w:r>
      <w:r w:rsidRPr="008403B4">
        <w:rPr>
          <w:rFonts w:cstheme="minorHAnsi"/>
          <w:i/>
        </w:rPr>
        <w:t>21</w:t>
      </w:r>
      <w:r w:rsidRPr="008403B4">
        <w:rPr>
          <w:rFonts w:cstheme="minorHAnsi"/>
          <w:i/>
          <w:vertAlign w:val="superscript"/>
        </w:rPr>
        <w:t>st</w:t>
      </w:r>
      <w:r w:rsidRPr="008403B4">
        <w:rPr>
          <w:rFonts w:cstheme="minorHAnsi"/>
          <w:i/>
        </w:rPr>
        <w:t xml:space="preserve"> Century Housing Careers and Australia’s housing future</w:t>
      </w:r>
      <w:r w:rsidR="008403B4">
        <w:rPr>
          <w:rFonts w:cstheme="minorHAnsi"/>
        </w:rPr>
        <w:t>,</w:t>
      </w:r>
      <w:r w:rsidRPr="001C4857">
        <w:rPr>
          <w:rFonts w:cstheme="minorHAnsi"/>
        </w:rPr>
        <w:t xml:space="preserve"> </w:t>
      </w:r>
      <w:r w:rsidRPr="008403B4">
        <w:rPr>
          <w:rFonts w:cstheme="minorHAnsi"/>
        </w:rPr>
        <w:t>Australian Housing and Urban Research Institute Final Report No. 28</w:t>
      </w:r>
      <w:r w:rsidR="008403B4">
        <w:rPr>
          <w:rFonts w:cstheme="minorHAnsi"/>
        </w:rPr>
        <w:t>, p</w:t>
      </w:r>
      <w:r w:rsidRPr="001C4857">
        <w:rPr>
          <w:rFonts w:cstheme="minorHAnsi"/>
        </w:rPr>
        <w:t xml:space="preserve"> </w:t>
      </w:r>
      <w:r w:rsidR="00894640" w:rsidRPr="001C4857">
        <w:rPr>
          <w:rFonts w:cstheme="minorHAnsi"/>
        </w:rPr>
        <w:t>70</w:t>
      </w:r>
      <w:r w:rsidRPr="001C4857">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CCC" w14:textId="3BAC72F7" w:rsidR="00445FD1" w:rsidRPr="00D10635" w:rsidRDefault="00445FD1" w:rsidP="002160A7">
    <w:pPr>
      <w:jc w:val="center"/>
    </w:pPr>
    <w:r w:rsidRPr="002160A7">
      <w:rPr>
        <w:rStyle w:val="CLASSIFICATIONChar"/>
        <w:noProof/>
        <w:lang w:eastAsia="en-AU"/>
      </w:rPr>
      <mc:AlternateContent>
        <mc:Choice Requires="wps">
          <w:drawing>
            <wp:anchor distT="0" distB="0" distL="114300" distR="114300" simplePos="0" relativeHeight="251658241" behindDoc="1" locked="0" layoutInCell="1" allowOverlap="1" wp14:anchorId="701DB530" wp14:editId="3EBCEEBE">
              <wp:simplePos x="0" y="0"/>
              <wp:positionH relativeFrom="column">
                <wp:posOffset>6221730</wp:posOffset>
              </wp:positionH>
              <wp:positionV relativeFrom="page">
                <wp:posOffset>691515</wp:posOffset>
              </wp:positionV>
              <wp:extent cx="6084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06862A" id="Straight Connector 3"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1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6qLa6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5B1E" w14:textId="77777777" w:rsidR="00445FD1" w:rsidRDefault="00445FD1"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58240" behindDoc="1" locked="0" layoutInCell="1" allowOverlap="1" wp14:anchorId="711FD60C" wp14:editId="6D638131">
          <wp:simplePos x="0" y="0"/>
          <wp:positionH relativeFrom="column">
            <wp:posOffset>4751640</wp:posOffset>
          </wp:positionH>
          <wp:positionV relativeFrom="paragraph">
            <wp:posOffset>-493639</wp:posOffset>
          </wp:positionV>
          <wp:extent cx="1473795" cy="1789544"/>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mc:AlternateContent>
        <mc:Choice Requires="wps">
          <w:drawing>
            <wp:anchor distT="0" distB="0" distL="114300" distR="114300" simplePos="0" relativeHeight="251658243" behindDoc="1" locked="0" layoutInCell="1" allowOverlap="1" wp14:anchorId="1D60384D" wp14:editId="0F5CB36C">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C64757" id="Straight Connector 192" o:spid="_x0000_s1026" style="position:absolute;z-index:-25165823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Pr="002160A7">
      <w:rPr>
        <w:noProof/>
        <w:lang w:eastAsia="en-AU"/>
      </w:rPr>
      <w:drawing>
        <wp:anchor distT="0" distB="0" distL="114300" distR="114300" simplePos="0" relativeHeight="251658242" behindDoc="1" locked="0" layoutInCell="1" allowOverlap="1" wp14:anchorId="725BFAB7" wp14:editId="4DAE3F6E">
          <wp:simplePos x="0" y="0"/>
          <wp:positionH relativeFrom="column">
            <wp:posOffset>-313055</wp:posOffset>
          </wp:positionH>
          <wp:positionV relativeFrom="page">
            <wp:posOffset>183515</wp:posOffset>
          </wp:positionV>
          <wp:extent cx="3600000" cy="806400"/>
          <wp:effectExtent l="0" t="0" r="0" b="0"/>
          <wp:wrapNone/>
          <wp:docPr id="1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24E43" w14:textId="77777777" w:rsidR="00445FD1" w:rsidRDefault="00445FD1" w:rsidP="00303C55">
    <w:pPr>
      <w:pStyle w:val="Header"/>
      <w:jc w:val="center"/>
      <w:rPr>
        <w:rStyle w:val="CLASSIFICATIONChar"/>
      </w:rPr>
    </w:pPr>
  </w:p>
  <w:p w14:paraId="72313B4D" w14:textId="77777777" w:rsidR="00445FD1" w:rsidRDefault="00445FD1" w:rsidP="00303C55">
    <w:pPr>
      <w:pStyle w:val="Header"/>
      <w:jc w:val="center"/>
      <w:rPr>
        <w:rStyle w:val="CLASSIFICATIONChar"/>
      </w:rPr>
    </w:pPr>
  </w:p>
  <w:p w14:paraId="65BCE671" w14:textId="77777777" w:rsidR="00445FD1" w:rsidRDefault="00445FD1" w:rsidP="00303C55">
    <w:pPr>
      <w:pStyle w:val="Header"/>
      <w:jc w:val="center"/>
      <w:rPr>
        <w:rStyle w:val="CLASSIFICATIONChar"/>
      </w:rPr>
    </w:pPr>
  </w:p>
  <w:p w14:paraId="1AE1656E" w14:textId="105BA38F" w:rsidR="00445FD1" w:rsidRDefault="00445FD1" w:rsidP="002160A7">
    <w:pPr>
      <w:pStyle w:val="CLASSIFICATION"/>
    </w:pPr>
  </w:p>
  <w:p w14:paraId="53FCE169" w14:textId="77777777" w:rsidR="00445FD1" w:rsidRPr="002160A7" w:rsidRDefault="00445FD1"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2C9D"/>
    <w:multiLevelType w:val="hybridMultilevel"/>
    <w:tmpl w:val="301AB3E6"/>
    <w:lvl w:ilvl="0" w:tplc="2462361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02AE0"/>
    <w:multiLevelType w:val="hybridMultilevel"/>
    <w:tmpl w:val="09CAF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6"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507AC4"/>
    <w:multiLevelType w:val="hybridMultilevel"/>
    <w:tmpl w:val="087CCB38"/>
    <w:lvl w:ilvl="0" w:tplc="C9682B3A">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7854A54"/>
    <w:multiLevelType w:val="hybridMultilevel"/>
    <w:tmpl w:val="86FCF496"/>
    <w:lvl w:ilvl="0" w:tplc="9E860500">
      <w:start w:val="1"/>
      <w:numFmt w:val="bullet"/>
      <w:lvlText w:val=""/>
      <w:lvlJc w:val="left"/>
      <w:pPr>
        <w:ind w:left="708"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32D7140E"/>
    <w:multiLevelType w:val="hybridMultilevel"/>
    <w:tmpl w:val="BA1E9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0B22B27"/>
    <w:multiLevelType w:val="hybridMultilevel"/>
    <w:tmpl w:val="6260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2"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4F327CB"/>
    <w:multiLevelType w:val="hybridMultilevel"/>
    <w:tmpl w:val="03B6BB64"/>
    <w:lvl w:ilvl="0" w:tplc="74987B64">
      <w:start w:val="1"/>
      <w:numFmt w:val="bullet"/>
      <w:pStyle w:val="Bulleted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CE74B20"/>
    <w:multiLevelType w:val="hybridMultilevel"/>
    <w:tmpl w:val="BBD2DB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3C7E9D"/>
    <w:multiLevelType w:val="hybridMultilevel"/>
    <w:tmpl w:val="CC10FCDC"/>
    <w:lvl w:ilvl="0" w:tplc="72DE269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7"/>
  </w:num>
  <w:num w:numId="14">
    <w:abstractNumId w:val="18"/>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22"/>
  </w:num>
  <w:num w:numId="20">
    <w:abstractNumId w:val="22"/>
    <w:lvlOverride w:ilvl="0">
      <w:startOverride w:val="1"/>
    </w:lvlOverride>
  </w:num>
  <w:num w:numId="21">
    <w:abstractNumId w:val="28"/>
  </w:num>
  <w:num w:numId="22">
    <w:abstractNumId w:val="25"/>
  </w:num>
  <w:num w:numId="23">
    <w:abstractNumId w:val="13"/>
    <w:lvlOverride w:ilvl="0">
      <w:startOverride w:val="1"/>
    </w:lvlOverride>
  </w:num>
  <w:num w:numId="24">
    <w:abstractNumId w:val="28"/>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16"/>
  </w:num>
  <w:num w:numId="28">
    <w:abstractNumId w:val="21"/>
  </w:num>
  <w:num w:numId="29">
    <w:abstractNumId w:val="15"/>
  </w:num>
  <w:num w:numId="30">
    <w:abstractNumId w:val="17"/>
  </w:num>
  <w:num w:numId="31">
    <w:abstractNumId w:val="14"/>
  </w:num>
  <w:num w:numId="32">
    <w:abstractNumId w:val="28"/>
    <w:lvlOverride w:ilvl="0">
      <w:startOverride w:val="1"/>
    </w:lvlOverride>
  </w:num>
  <w:num w:numId="33">
    <w:abstractNumId w:val="28"/>
    <w:lvlOverride w:ilvl="0">
      <w:startOverride w:val="1"/>
    </w:lvlOverride>
  </w:num>
  <w:num w:numId="34">
    <w:abstractNumId w:val="28"/>
    <w:lvlOverride w:ilvl="0">
      <w:startOverride w:val="1"/>
    </w:lvlOverride>
  </w:num>
  <w:num w:numId="35">
    <w:abstractNumId w:val="26"/>
  </w:num>
  <w:num w:numId="36">
    <w:abstractNumId w:val="20"/>
  </w:num>
  <w:num w:numId="37">
    <w:abstractNumId w:val="23"/>
  </w:num>
  <w:num w:numId="38">
    <w:abstractNumId w:val="19"/>
  </w:num>
  <w:num w:numId="39">
    <w:abstractNumId w:val="24"/>
  </w:num>
  <w:num w:numId="40">
    <w:abstractNumId w:val="11"/>
  </w:num>
  <w:num w:numId="41">
    <w:abstractNumId w:val="17"/>
  </w:num>
  <w:num w:numId="42">
    <w:abstractNumId w:val="17"/>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0"/>
  </w:num>
  <w:num w:numId="50">
    <w:abstractNumId w:val="17"/>
  </w:num>
  <w:num w:numId="51">
    <w:abstractNumId w:val="17"/>
  </w:num>
  <w:num w:numId="52">
    <w:abstractNumId w:val="17"/>
  </w:num>
  <w:num w:numId="53">
    <w:abstractNumId w:val="17"/>
  </w:num>
  <w:num w:numId="54">
    <w:abstractNumId w:val="23"/>
  </w:num>
  <w:num w:numId="55">
    <w:abstractNumId w:val="23"/>
  </w:num>
  <w:num w:numId="56">
    <w:abstractNumId w:val="17"/>
  </w:num>
  <w:num w:numId="57">
    <w:abstractNumId w:val="23"/>
  </w:num>
  <w:num w:numId="58">
    <w:abstractNumId w:val="17"/>
  </w:num>
  <w:num w:numId="59">
    <w:abstractNumId w:val="17"/>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8"/>
    <w:rsid w:val="000211EC"/>
    <w:rsid w:val="00027038"/>
    <w:rsid w:val="0003154E"/>
    <w:rsid w:val="00037513"/>
    <w:rsid w:val="000469BF"/>
    <w:rsid w:val="0006450E"/>
    <w:rsid w:val="0006627F"/>
    <w:rsid w:val="00066CE0"/>
    <w:rsid w:val="00072B9E"/>
    <w:rsid w:val="0007703F"/>
    <w:rsid w:val="000A1C9F"/>
    <w:rsid w:val="000B3417"/>
    <w:rsid w:val="000D2B63"/>
    <w:rsid w:val="000D749D"/>
    <w:rsid w:val="000E5C44"/>
    <w:rsid w:val="000F2ED7"/>
    <w:rsid w:val="000F5ABB"/>
    <w:rsid w:val="00100DDC"/>
    <w:rsid w:val="00117A77"/>
    <w:rsid w:val="00130B3E"/>
    <w:rsid w:val="00151FD7"/>
    <w:rsid w:val="001578AC"/>
    <w:rsid w:val="0016138F"/>
    <w:rsid w:val="00175C0D"/>
    <w:rsid w:val="00187C1C"/>
    <w:rsid w:val="001A0669"/>
    <w:rsid w:val="001A52C0"/>
    <w:rsid w:val="001A5D82"/>
    <w:rsid w:val="001C027E"/>
    <w:rsid w:val="001C22CB"/>
    <w:rsid w:val="001C4857"/>
    <w:rsid w:val="001E3136"/>
    <w:rsid w:val="00210708"/>
    <w:rsid w:val="002160A7"/>
    <w:rsid w:val="00220B7E"/>
    <w:rsid w:val="00220DDA"/>
    <w:rsid w:val="00227DB5"/>
    <w:rsid w:val="002405C8"/>
    <w:rsid w:val="002429B0"/>
    <w:rsid w:val="00251769"/>
    <w:rsid w:val="00266CCC"/>
    <w:rsid w:val="002738BF"/>
    <w:rsid w:val="00274D42"/>
    <w:rsid w:val="00281D37"/>
    <w:rsid w:val="00285CAF"/>
    <w:rsid w:val="002A04D3"/>
    <w:rsid w:val="002B661A"/>
    <w:rsid w:val="002B6DDC"/>
    <w:rsid w:val="002C7A05"/>
    <w:rsid w:val="002D3BA6"/>
    <w:rsid w:val="002D6B3D"/>
    <w:rsid w:val="002E7588"/>
    <w:rsid w:val="00300440"/>
    <w:rsid w:val="003012E1"/>
    <w:rsid w:val="00303C55"/>
    <w:rsid w:val="00311C2D"/>
    <w:rsid w:val="00336C42"/>
    <w:rsid w:val="0034310D"/>
    <w:rsid w:val="00344BE5"/>
    <w:rsid w:val="003500FD"/>
    <w:rsid w:val="00353E5E"/>
    <w:rsid w:val="00362371"/>
    <w:rsid w:val="00374D2A"/>
    <w:rsid w:val="00385BD5"/>
    <w:rsid w:val="003B466D"/>
    <w:rsid w:val="003B7229"/>
    <w:rsid w:val="003D5411"/>
    <w:rsid w:val="003D56C5"/>
    <w:rsid w:val="003D5886"/>
    <w:rsid w:val="003D676D"/>
    <w:rsid w:val="003F23E9"/>
    <w:rsid w:val="003F3C62"/>
    <w:rsid w:val="003F5E49"/>
    <w:rsid w:val="004009A3"/>
    <w:rsid w:val="00407313"/>
    <w:rsid w:val="00412E79"/>
    <w:rsid w:val="00445FD1"/>
    <w:rsid w:val="004465B0"/>
    <w:rsid w:val="00481708"/>
    <w:rsid w:val="004B2C90"/>
    <w:rsid w:val="004B5B2E"/>
    <w:rsid w:val="004C583F"/>
    <w:rsid w:val="004D0B8E"/>
    <w:rsid w:val="004D5996"/>
    <w:rsid w:val="004E2DE5"/>
    <w:rsid w:val="004E416F"/>
    <w:rsid w:val="004E77D9"/>
    <w:rsid w:val="004F4C4F"/>
    <w:rsid w:val="005226B9"/>
    <w:rsid w:val="00523CB9"/>
    <w:rsid w:val="0052469B"/>
    <w:rsid w:val="00530679"/>
    <w:rsid w:val="00560B58"/>
    <w:rsid w:val="00563A29"/>
    <w:rsid w:val="005822B0"/>
    <w:rsid w:val="005874ED"/>
    <w:rsid w:val="00591288"/>
    <w:rsid w:val="005917FD"/>
    <w:rsid w:val="0059265A"/>
    <w:rsid w:val="005A270A"/>
    <w:rsid w:val="005A4AA1"/>
    <w:rsid w:val="005B5E57"/>
    <w:rsid w:val="005D4706"/>
    <w:rsid w:val="005E3033"/>
    <w:rsid w:val="005E65E7"/>
    <w:rsid w:val="005F2756"/>
    <w:rsid w:val="00621EA3"/>
    <w:rsid w:val="006240B3"/>
    <w:rsid w:val="0064343A"/>
    <w:rsid w:val="00653582"/>
    <w:rsid w:val="006825CB"/>
    <w:rsid w:val="006837F8"/>
    <w:rsid w:val="00687E83"/>
    <w:rsid w:val="006A008F"/>
    <w:rsid w:val="006A09BD"/>
    <w:rsid w:val="006A5AA6"/>
    <w:rsid w:val="006D0259"/>
    <w:rsid w:val="006E170D"/>
    <w:rsid w:val="006F4E9D"/>
    <w:rsid w:val="00702B20"/>
    <w:rsid w:val="00717816"/>
    <w:rsid w:val="007204A9"/>
    <w:rsid w:val="007247C2"/>
    <w:rsid w:val="00724A56"/>
    <w:rsid w:val="00730855"/>
    <w:rsid w:val="007439A0"/>
    <w:rsid w:val="00756929"/>
    <w:rsid w:val="007579AA"/>
    <w:rsid w:val="00774646"/>
    <w:rsid w:val="00781695"/>
    <w:rsid w:val="00790994"/>
    <w:rsid w:val="007926F3"/>
    <w:rsid w:val="0079677F"/>
    <w:rsid w:val="00797A73"/>
    <w:rsid w:val="007A14CF"/>
    <w:rsid w:val="007A3379"/>
    <w:rsid w:val="007B1C05"/>
    <w:rsid w:val="007B6F17"/>
    <w:rsid w:val="007C0935"/>
    <w:rsid w:val="007C3AC2"/>
    <w:rsid w:val="007C6F49"/>
    <w:rsid w:val="007D5F4A"/>
    <w:rsid w:val="007F4245"/>
    <w:rsid w:val="008046D4"/>
    <w:rsid w:val="00807114"/>
    <w:rsid w:val="0081462A"/>
    <w:rsid w:val="008223E6"/>
    <w:rsid w:val="008258CF"/>
    <w:rsid w:val="00830BBD"/>
    <w:rsid w:val="008324EC"/>
    <w:rsid w:val="00833792"/>
    <w:rsid w:val="00834280"/>
    <w:rsid w:val="008403B4"/>
    <w:rsid w:val="00853F4F"/>
    <w:rsid w:val="00857CBE"/>
    <w:rsid w:val="00861C13"/>
    <w:rsid w:val="00865661"/>
    <w:rsid w:val="00871F94"/>
    <w:rsid w:val="0087696F"/>
    <w:rsid w:val="00881BC6"/>
    <w:rsid w:val="00883AC4"/>
    <w:rsid w:val="00894640"/>
    <w:rsid w:val="008A0614"/>
    <w:rsid w:val="008A4106"/>
    <w:rsid w:val="008A72E7"/>
    <w:rsid w:val="008C47A1"/>
    <w:rsid w:val="008D6B9E"/>
    <w:rsid w:val="008D6F1B"/>
    <w:rsid w:val="008D79F2"/>
    <w:rsid w:val="008E1024"/>
    <w:rsid w:val="00911CFD"/>
    <w:rsid w:val="00913ED0"/>
    <w:rsid w:val="00927650"/>
    <w:rsid w:val="00930873"/>
    <w:rsid w:val="00936111"/>
    <w:rsid w:val="00942CB6"/>
    <w:rsid w:val="00942CE9"/>
    <w:rsid w:val="00950207"/>
    <w:rsid w:val="00953918"/>
    <w:rsid w:val="00954FF2"/>
    <w:rsid w:val="00956A3F"/>
    <w:rsid w:val="00961734"/>
    <w:rsid w:val="00962EE8"/>
    <w:rsid w:val="00965A5E"/>
    <w:rsid w:val="00976515"/>
    <w:rsid w:val="00976EE9"/>
    <w:rsid w:val="00995DC9"/>
    <w:rsid w:val="009A6D9C"/>
    <w:rsid w:val="009B7E57"/>
    <w:rsid w:val="009C0013"/>
    <w:rsid w:val="009C2119"/>
    <w:rsid w:val="009C60F6"/>
    <w:rsid w:val="009F0889"/>
    <w:rsid w:val="009F4DD2"/>
    <w:rsid w:val="009F6E11"/>
    <w:rsid w:val="00A03B33"/>
    <w:rsid w:val="00A10E96"/>
    <w:rsid w:val="00A12C83"/>
    <w:rsid w:val="00A22441"/>
    <w:rsid w:val="00A33AC4"/>
    <w:rsid w:val="00A453A5"/>
    <w:rsid w:val="00A47CD8"/>
    <w:rsid w:val="00A85747"/>
    <w:rsid w:val="00AA6883"/>
    <w:rsid w:val="00AA6A10"/>
    <w:rsid w:val="00AA705F"/>
    <w:rsid w:val="00AB072A"/>
    <w:rsid w:val="00AB7022"/>
    <w:rsid w:val="00AF33F9"/>
    <w:rsid w:val="00B0322C"/>
    <w:rsid w:val="00B05D3A"/>
    <w:rsid w:val="00B1049F"/>
    <w:rsid w:val="00B13F07"/>
    <w:rsid w:val="00B2087A"/>
    <w:rsid w:val="00B305F5"/>
    <w:rsid w:val="00B46754"/>
    <w:rsid w:val="00B6596F"/>
    <w:rsid w:val="00B712F6"/>
    <w:rsid w:val="00B7595B"/>
    <w:rsid w:val="00B90C29"/>
    <w:rsid w:val="00BA39DA"/>
    <w:rsid w:val="00BB4B1D"/>
    <w:rsid w:val="00BC07D1"/>
    <w:rsid w:val="00BC13AB"/>
    <w:rsid w:val="00BC2113"/>
    <w:rsid w:val="00BD11FE"/>
    <w:rsid w:val="00BD1FC6"/>
    <w:rsid w:val="00BD57F5"/>
    <w:rsid w:val="00BD5DDC"/>
    <w:rsid w:val="00BE48A4"/>
    <w:rsid w:val="00BE56F0"/>
    <w:rsid w:val="00BF5A42"/>
    <w:rsid w:val="00BF74D1"/>
    <w:rsid w:val="00C01249"/>
    <w:rsid w:val="00C01D48"/>
    <w:rsid w:val="00C036DF"/>
    <w:rsid w:val="00C20A69"/>
    <w:rsid w:val="00C20B58"/>
    <w:rsid w:val="00C25FD8"/>
    <w:rsid w:val="00C3789B"/>
    <w:rsid w:val="00C53D35"/>
    <w:rsid w:val="00C55DBD"/>
    <w:rsid w:val="00C65350"/>
    <w:rsid w:val="00C70A71"/>
    <w:rsid w:val="00C8049E"/>
    <w:rsid w:val="00C814A8"/>
    <w:rsid w:val="00C864D3"/>
    <w:rsid w:val="00C94EE0"/>
    <w:rsid w:val="00CA30E2"/>
    <w:rsid w:val="00CB5454"/>
    <w:rsid w:val="00CC2890"/>
    <w:rsid w:val="00CC2D30"/>
    <w:rsid w:val="00CF1B58"/>
    <w:rsid w:val="00D03799"/>
    <w:rsid w:val="00D07146"/>
    <w:rsid w:val="00D10635"/>
    <w:rsid w:val="00D11A02"/>
    <w:rsid w:val="00D11A07"/>
    <w:rsid w:val="00D12E1C"/>
    <w:rsid w:val="00D13DE7"/>
    <w:rsid w:val="00D14BA5"/>
    <w:rsid w:val="00D214F6"/>
    <w:rsid w:val="00D26568"/>
    <w:rsid w:val="00D266EE"/>
    <w:rsid w:val="00D433D6"/>
    <w:rsid w:val="00D525B8"/>
    <w:rsid w:val="00D65295"/>
    <w:rsid w:val="00D712E1"/>
    <w:rsid w:val="00D75A87"/>
    <w:rsid w:val="00D76D09"/>
    <w:rsid w:val="00D8072E"/>
    <w:rsid w:val="00DA38B8"/>
    <w:rsid w:val="00DA69FF"/>
    <w:rsid w:val="00DA6D47"/>
    <w:rsid w:val="00DA7902"/>
    <w:rsid w:val="00DB7951"/>
    <w:rsid w:val="00DD17B9"/>
    <w:rsid w:val="00DF2F8D"/>
    <w:rsid w:val="00E10837"/>
    <w:rsid w:val="00E224F4"/>
    <w:rsid w:val="00E2753F"/>
    <w:rsid w:val="00E33468"/>
    <w:rsid w:val="00E34C59"/>
    <w:rsid w:val="00E43796"/>
    <w:rsid w:val="00E64A56"/>
    <w:rsid w:val="00E73BC1"/>
    <w:rsid w:val="00E82D67"/>
    <w:rsid w:val="00E84F06"/>
    <w:rsid w:val="00E86D88"/>
    <w:rsid w:val="00E92551"/>
    <w:rsid w:val="00EA7162"/>
    <w:rsid w:val="00EB44A4"/>
    <w:rsid w:val="00ED0697"/>
    <w:rsid w:val="00ED1C17"/>
    <w:rsid w:val="00ED2498"/>
    <w:rsid w:val="00EE1CD8"/>
    <w:rsid w:val="00EE4A64"/>
    <w:rsid w:val="00EE7415"/>
    <w:rsid w:val="00EF1313"/>
    <w:rsid w:val="00EF6577"/>
    <w:rsid w:val="00F02DA2"/>
    <w:rsid w:val="00F154CF"/>
    <w:rsid w:val="00F17FFD"/>
    <w:rsid w:val="00F20D9A"/>
    <w:rsid w:val="00F26365"/>
    <w:rsid w:val="00F4705C"/>
    <w:rsid w:val="00F53BEE"/>
    <w:rsid w:val="00F61B3A"/>
    <w:rsid w:val="00F62D1C"/>
    <w:rsid w:val="00F87A20"/>
    <w:rsid w:val="00F9023F"/>
    <w:rsid w:val="00F92923"/>
    <w:rsid w:val="00F957C6"/>
    <w:rsid w:val="00FB075C"/>
    <w:rsid w:val="00FB0F49"/>
    <w:rsid w:val="00FB52D8"/>
    <w:rsid w:val="00FC2A9F"/>
    <w:rsid w:val="00FC6B5C"/>
    <w:rsid w:val="00FD2C22"/>
    <w:rsid w:val="00FD688E"/>
    <w:rsid w:val="00FE2C7F"/>
    <w:rsid w:val="00FF5A93"/>
    <w:rsid w:val="00FF6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23011"/>
  <w14:defaultImageDpi w14:val="330"/>
  <w15:chartTrackingRefBased/>
  <w15:docId w15:val="{68DBC71E-D125-4DD2-A901-F0018E7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724A56"/>
    <w:pPr>
      <w:numPr>
        <w:numId w:val="37"/>
      </w:numPr>
      <w:spacing w:line="240" w:lineRule="auto"/>
      <w:contextualSpacing w:val="0"/>
    </w:pPr>
  </w:style>
  <w:style w:type="paragraph" w:customStyle="1" w:styleId="BulletedList-Level2">
    <w:name w:val="Bulleted List - Level 2"/>
    <w:basedOn w:val="BulletedList-Level1"/>
    <w:uiPriority w:val="1"/>
    <w:qFormat/>
    <w:rsid w:val="00724A56"/>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C65350"/>
    <w:rPr>
      <w:sz w:val="22"/>
    </w:rPr>
  </w:style>
  <w:style w:type="paragraph" w:styleId="FootnoteText">
    <w:name w:val="footnote text"/>
    <w:basedOn w:val="Normal"/>
    <w:link w:val="FootnoteTextChar"/>
    <w:uiPriority w:val="99"/>
    <w:unhideWhenUsed/>
    <w:rsid w:val="00EB44A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B44A4"/>
    <w:rPr>
      <w:rFonts w:eastAsiaTheme="minorHAnsi"/>
      <w:sz w:val="20"/>
      <w:szCs w:val="20"/>
    </w:rPr>
  </w:style>
  <w:style w:type="character" w:styleId="FootnoteReference">
    <w:name w:val="footnote reference"/>
    <w:basedOn w:val="DefaultParagraphFont"/>
    <w:uiPriority w:val="99"/>
    <w:unhideWhenUsed/>
    <w:rsid w:val="00EB44A4"/>
    <w:rPr>
      <w:vertAlign w:val="superscript"/>
    </w:rPr>
  </w:style>
  <w:style w:type="character" w:styleId="FollowedHyperlink">
    <w:name w:val="FollowedHyperlink"/>
    <w:basedOn w:val="DefaultParagraphFont"/>
    <w:uiPriority w:val="99"/>
    <w:semiHidden/>
    <w:unhideWhenUsed/>
    <w:rsid w:val="00D214F6"/>
    <w:rPr>
      <w:color w:val="1B375C" w:themeColor="followedHyperlink"/>
      <w:u w:val="single"/>
    </w:rPr>
  </w:style>
  <w:style w:type="character" w:styleId="CommentReference">
    <w:name w:val="annotation reference"/>
    <w:basedOn w:val="DefaultParagraphFont"/>
    <w:uiPriority w:val="99"/>
    <w:semiHidden/>
    <w:unhideWhenUsed/>
    <w:rsid w:val="00B712F6"/>
    <w:rPr>
      <w:sz w:val="16"/>
      <w:szCs w:val="16"/>
    </w:rPr>
  </w:style>
  <w:style w:type="paragraph" w:styleId="CommentText">
    <w:name w:val="annotation text"/>
    <w:basedOn w:val="Normal"/>
    <w:link w:val="CommentTextChar"/>
    <w:uiPriority w:val="99"/>
    <w:unhideWhenUsed/>
    <w:rsid w:val="00B712F6"/>
    <w:pPr>
      <w:spacing w:line="240" w:lineRule="auto"/>
    </w:pPr>
    <w:rPr>
      <w:sz w:val="20"/>
      <w:szCs w:val="20"/>
    </w:rPr>
  </w:style>
  <w:style w:type="character" w:customStyle="1" w:styleId="CommentTextChar">
    <w:name w:val="Comment Text Char"/>
    <w:basedOn w:val="DefaultParagraphFont"/>
    <w:link w:val="CommentText"/>
    <w:uiPriority w:val="99"/>
    <w:rsid w:val="00B712F6"/>
    <w:rPr>
      <w:sz w:val="20"/>
      <w:szCs w:val="20"/>
    </w:rPr>
  </w:style>
  <w:style w:type="paragraph" w:styleId="CommentSubject">
    <w:name w:val="annotation subject"/>
    <w:basedOn w:val="CommentText"/>
    <w:next w:val="CommentText"/>
    <w:link w:val="CommentSubjectChar"/>
    <w:uiPriority w:val="99"/>
    <w:semiHidden/>
    <w:unhideWhenUsed/>
    <w:rsid w:val="007A14CF"/>
    <w:rPr>
      <w:b/>
      <w:bCs/>
    </w:rPr>
  </w:style>
  <w:style w:type="character" w:customStyle="1" w:styleId="CommentSubjectChar">
    <w:name w:val="Comment Subject Char"/>
    <w:basedOn w:val="CommentTextChar"/>
    <w:link w:val="CommentSubject"/>
    <w:uiPriority w:val="99"/>
    <w:semiHidden/>
    <w:rsid w:val="007A14CF"/>
    <w:rPr>
      <w:b/>
      <w:bCs/>
      <w:sz w:val="20"/>
      <w:szCs w:val="20"/>
    </w:rPr>
  </w:style>
  <w:style w:type="paragraph" w:styleId="Revision">
    <w:name w:val="Revision"/>
    <w:hidden/>
    <w:uiPriority w:val="99"/>
    <w:semiHidden/>
    <w:rsid w:val="000F2ED7"/>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c.gov.au/office-women/grants-and-funding/national-womens-allian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national-womens-health-strategy-2020-20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Wengagement@pm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women-programs-services-reducing-violence/the-national-plan-to-end-violence-against-women-and-children-2022-2032" TargetMode="External"/><Relationship Id="rId5" Type="http://schemas.openxmlformats.org/officeDocument/2006/relationships/numbering" Target="numbering.xml"/><Relationship Id="rId15" Type="http://schemas.openxmlformats.org/officeDocument/2006/relationships/hyperlink" Target="https://www.pmc.gov.au/office-women/national-strategy-achieve-gender-equal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asury.gov.au/employment-whitepaper/jobs-summi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aiiw.org.au/news/a-home-of-ones-own-philanthropic-and-social-sector-solutions-for-womens-housing/" TargetMode="External"/><Relationship Id="rId13" Type="http://schemas.openxmlformats.org/officeDocument/2006/relationships/hyperlink" Target="https://www.aihw.gov.au/reports/homelessness-services/specialist-homelessness-services-annual-report/contents/clients-services-and-outcomes" TargetMode="External"/><Relationship Id="rId18" Type="http://schemas.openxmlformats.org/officeDocument/2006/relationships/hyperlink" Target="https://www.aihw.gov.au/reports/housing-assistance/housing-assistance-in-australia/contents/occupants" TargetMode="External"/><Relationship Id="rId26" Type="http://schemas.openxmlformats.org/officeDocument/2006/relationships/hyperlink" Target="https://www.pc.gov.au/inquiries/completed/housing-homelessness/report/housing-homelessness.pdf" TargetMode="External"/><Relationship Id="rId3" Type="http://schemas.openxmlformats.org/officeDocument/2006/relationships/hyperlink" Target="https://www.pc.gov.au/inquiries/completed/housing-homelessness/report/housing-homelessness.pdf" TargetMode="External"/><Relationship Id="rId21" Type="http://schemas.openxmlformats.org/officeDocument/2006/relationships/hyperlink" Target="https://humanrights.gov.au/our-work/aboriginal-and-torres-strait-islander-social-justice/publications/wiyi-yani-u-thangani" TargetMode="External"/><Relationship Id="rId7" Type="http://schemas.openxmlformats.org/officeDocument/2006/relationships/hyperlink" Target="https://www.aph.gov.au/about_parliament/parliamentary_departments/parliamentary_library/publications_archive/archive/violenceagainstwomen." TargetMode="External"/><Relationship Id="rId12" Type="http://schemas.openxmlformats.org/officeDocument/2006/relationships/hyperlink" Target="https://www.aihw.gov.au/reports/australias-welfare/homelessness-and-homelessness-services" TargetMode="External"/><Relationship Id="rId17" Type="http://schemas.openxmlformats.org/officeDocument/2006/relationships/hyperlink" Target="https://humanrights.gov.au/our-work/aboriginal-and-torres-strait-islander-social-justice/publications/wiyi-yani-u-thangani" TargetMode="External"/><Relationship Id="rId25" Type="http://schemas.openxmlformats.org/officeDocument/2006/relationships/hyperlink" Target="https://researchdirect.westernsydney.edu.au/islandora/object/uws:56836" TargetMode="External"/><Relationship Id="rId2" Type="http://schemas.openxmlformats.org/officeDocument/2006/relationships/hyperlink" Target="https://www.suicidepreventionaust.org/wp-content/uploads/2022/09/SPA_StateNationReport_2022_FINAL-1.pdf" TargetMode="External"/><Relationship Id="rId16" Type="http://schemas.openxmlformats.org/officeDocument/2006/relationships/hyperlink" Target="https://www.aihw.gov.au/reports/housing-assistance/housing-assistance-in-australia-2021/contents/priority-groups-and-waiting-lists" TargetMode="External"/><Relationship Id="rId20" Type="http://schemas.openxmlformats.org/officeDocument/2006/relationships/hyperlink" Target="https://www.pc.gov.au/ongoing/report-on-government-services/2022/housing-and-homelessness/housing" TargetMode="External"/><Relationship Id="rId29" Type="http://schemas.openxmlformats.org/officeDocument/2006/relationships/hyperlink" Target="https://www.ahuri.edu.au/sites/default/files/documents/2022-02/AHURI-Final-Report-373-Precarious-housing-and-wellbeing-a-multi-dimensional-investigation.pdf" TargetMode="External"/><Relationship Id="rId1" Type="http://schemas.openxmlformats.org/officeDocument/2006/relationships/hyperlink" Target="https://www.pc.gov.au/inquiries/completed/housing-homelessness/report/housing-homelessness.pdf" TargetMode="External"/><Relationship Id="rId6" Type="http://schemas.openxmlformats.org/officeDocument/2006/relationships/hyperlink" Target="https://www.aiiw.org.au/news/a-home-of-ones-own-philanthropic-and-social-sector-solutions-for-womens-housing/" TargetMode="External"/><Relationship Id="rId11" Type="http://schemas.openxmlformats.org/officeDocument/2006/relationships/hyperlink" Target="https://www.aihw.gov.au/reports/homelessness-services/specialist-homelessness-services-monthly-data/data" TargetMode="External"/><Relationship Id="rId24" Type="http://schemas.openxmlformats.org/officeDocument/2006/relationships/hyperlink" Target="https://researchdirect.westernsydney.edu.au/islandora/object/uws:56836" TargetMode="External"/><Relationship Id="rId5" Type="http://schemas.openxmlformats.org/officeDocument/2006/relationships/hyperlink" Target="https://www.equityeconomics.com.au/report-archive/nowhere-to-go-the-benefits-of-providing-long-term-social-housing-to-women-that-have-experienced-domestic-and-family-violence" TargetMode="External"/><Relationship Id="rId15" Type="http://schemas.openxmlformats.org/officeDocument/2006/relationships/hyperlink" Target="https://www.aihw.gov.au/reports/homelessness-services/specialist-homelessness-services-annual-report/contents/unmet-demand-for-specialist-homelessness-services" TargetMode="External"/><Relationship Id="rId23" Type="http://schemas.openxmlformats.org/officeDocument/2006/relationships/hyperlink" Target="https://www.pc.gov.au/research/completed/renters/private-renters.pdf" TargetMode="External"/><Relationship Id="rId28" Type="http://schemas.openxmlformats.org/officeDocument/2006/relationships/hyperlink" Target="https://www.pc.gov.au/inquiries/completed/housing-homelessness/report/housing-homelessness.pdf" TargetMode="External"/><Relationship Id="rId10" Type="http://schemas.openxmlformats.org/officeDocument/2006/relationships/hyperlink" Target="https://www.aihw.gov.au/reports/homelessness-services/people-short-term-or-emergency-accommodation-shs/summary" TargetMode="External"/><Relationship Id="rId19" Type="http://schemas.openxmlformats.org/officeDocument/2006/relationships/hyperlink" Target="https://www.aihw.gov.au/reports/australias-welfare/indigenous-housing" TargetMode="External"/><Relationship Id="rId4" Type="http://schemas.openxmlformats.org/officeDocument/2006/relationships/hyperlink" Target="https://www.nhfic.gov.au/research/researchreport/first-home-buyers/first-home-buyer-behaviour-analysis/" TargetMode="External"/><Relationship Id="rId9" Type="http://schemas.openxmlformats.org/officeDocument/2006/relationships/hyperlink" Target="https://www.aihw.gov.au/reports/homelessness-services/specialist-homelessness-services-monthly-data/data" TargetMode="External"/><Relationship Id="rId14" Type="http://schemas.openxmlformats.org/officeDocument/2006/relationships/hyperlink" Target="https://www.aihw.gov.au/reports/homelessness-services/specialist-homelessness-services-annual-report/contents/clients-who-have-experienced-family-and-domestic-violence" TargetMode="External"/><Relationship Id="rId22" Type="http://schemas.openxmlformats.org/officeDocument/2006/relationships/hyperlink" Target="https://www.pc.gov.au/__data/assets/pdf_file/0019/338041/sub083-housing-homelessness.pdf" TargetMode="External"/><Relationship Id="rId27" Type="http://schemas.openxmlformats.org/officeDocument/2006/relationships/hyperlink" Target="https://www.ahuri.edu.au/sites/default/files/documents/2021-09/AHURI-Final-Report-363-Understanding-discrimination-effects-in-private-rental-housing.pdfv" TargetMode="External"/><Relationship Id="rId30" Type="http://schemas.openxmlformats.org/officeDocument/2006/relationships/hyperlink" Target="https://grattan.edu.au/news/the-housing-game-has-changed-millennials-have-it-hard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877B5AEC84C26ABE300F48A833CD5"/>
        <w:category>
          <w:name w:val="General"/>
          <w:gallery w:val="placeholder"/>
        </w:category>
        <w:types>
          <w:type w:val="bbPlcHdr"/>
        </w:types>
        <w:behaviors>
          <w:behavior w:val="content"/>
        </w:behaviors>
        <w:guid w:val="{0B8B1F41-D7B7-49B4-B40D-0F6F851A6A70}"/>
      </w:docPartPr>
      <w:docPartBody>
        <w:p w:rsidR="00EE4A7A" w:rsidRDefault="00EE4A7A">
          <w:pPr>
            <w:pStyle w:val="EB3877B5AEC84C26ABE300F48A833CD5"/>
          </w:pPr>
          <w:r w:rsidRPr="00F13E41">
            <w:rPr>
              <w:rStyle w:val="PlaceholderText"/>
            </w:rPr>
            <w:t>[Title]</w:t>
          </w:r>
        </w:p>
      </w:docPartBody>
    </w:docPart>
    <w:docPart>
      <w:docPartPr>
        <w:name w:val="10D6513FF7D9482DBF35F8C750840C0A"/>
        <w:category>
          <w:name w:val="General"/>
          <w:gallery w:val="placeholder"/>
        </w:category>
        <w:types>
          <w:type w:val="bbPlcHdr"/>
        </w:types>
        <w:behaviors>
          <w:behavior w:val="content"/>
        </w:behaviors>
        <w:guid w:val="{1F7802A0-D091-4685-A848-12A4A095AA20}"/>
      </w:docPartPr>
      <w:docPartBody>
        <w:p w:rsidR="00EE4A7A" w:rsidRDefault="00EE4A7A">
          <w:pPr>
            <w:pStyle w:val="10D6513FF7D9482DBF35F8C750840C0A"/>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7A"/>
    <w:rsid w:val="00685908"/>
    <w:rsid w:val="007B7FD2"/>
    <w:rsid w:val="00923F9F"/>
    <w:rsid w:val="00AC4501"/>
    <w:rsid w:val="00EE4A7A"/>
    <w:rsid w:val="00F04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877B5AEC84C26ABE300F48A833CD5">
    <w:name w:val="EB3877B5AEC84C26ABE300F48A833CD5"/>
  </w:style>
  <w:style w:type="paragraph" w:customStyle="1" w:styleId="10D6513FF7D9482DBF35F8C750840C0A">
    <w:name w:val="10D6513FF7D9482DBF35F8C750840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A4C12DF371E8F4BB93A2BEA4DE4AEC1" ma:contentTypeVersion="7" ma:contentTypeDescription="ShareHub Document" ma:contentTypeScope="" ma:versionID="0fadfeb0e644ff012fc6c2d6ff120b19">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DOC22-302515</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A51F-95D4-44A1-A1FE-59CBCF31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38F1C-C245-4C33-9EF3-CF3F82FDDB51}">
  <ds:schemaRefs>
    <ds:schemaRef ds:uri="http://schemas.microsoft.com/sharepoint/v3/contenttype/forms"/>
  </ds:schemaRefs>
</ds:datastoreItem>
</file>

<file path=customXml/itemProps3.xml><?xml version="1.0" encoding="utf-8"?>
<ds:datastoreItem xmlns:ds="http://schemas.openxmlformats.org/officeDocument/2006/customXml" ds:itemID="{F8BAABE3-C765-4011-AAE3-8F8762E9568F}">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4.xml><?xml version="1.0" encoding="utf-8"?>
<ds:datastoreItem xmlns:ds="http://schemas.openxmlformats.org/officeDocument/2006/customXml" ds:itemID="{C3D15CBC-845E-4104-AA7B-04704F5D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Housing and Infrastructure</vt:lpstr>
    </vt:vector>
  </TitlesOfParts>
  <Manager>Office for Women</Manager>
  <Company>Department of the Prime Minister and Cabinet</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Infrastructure</dc:title>
  <dc:subject>Phase One Consultation: National Strategy to Achieve Gender Equality</dc:subject>
  <dc:creator>Department of the Prime Minister and Cabinet</dc:creator>
  <cp:keywords/>
  <dc:description/>
  <cp:lastModifiedBy>Darrell Hooper</cp:lastModifiedBy>
  <cp:revision>5</cp:revision>
  <dcterms:created xsi:type="dcterms:W3CDTF">2022-11-09T06:53:00Z</dcterms:created>
  <dcterms:modified xsi:type="dcterms:W3CDTF">2023-02-13T04:57:00Z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0x0101002825A64A6E1845A99A9D8EE8A5686ECB00BA4C12DF371E8F4BB93A2BEA4DE4AEC1</vt:lpwstr>
  </property>
  <property fmtid="{D5CDD505-2E9C-101B-9397-08002B2CF9AE}" pid="3" name="HPRMSecurityCaveat">
    <vt:lpwstr/>
  </property>
  <property fmtid="{D5CDD505-2E9C-101B-9397-08002B2CF9AE}" pid="4" name="HPRMSecurityLevel">
    <vt:lpwstr>48;#OFFICIAL|11463c70-78df-4e3b-b0ff-f66cd3cb26ec</vt:lpwstr>
  </property>
</Properties>
</file>