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96326909"/>
    <w:p w14:paraId="3BB8E216" w14:textId="34FA5933" w:rsidR="002D3BA6" w:rsidRDefault="00DE50DE" w:rsidP="002D3BA6">
      <w:pPr>
        <w:pStyle w:val="Title"/>
      </w:pPr>
      <w:sdt>
        <w:sdtPr>
          <w:alias w:val="Title"/>
          <w:tag w:val=""/>
          <w:id w:val="879900963"/>
          <w:placeholder>
            <w:docPart w:val="EB3877B5AEC84C26ABE300F48A833CD5"/>
          </w:placeholder>
          <w:dataBinding w:prefixMappings="xmlns:ns0='http://purl.org/dc/elements/1.1/' xmlns:ns1='http://schemas.openxmlformats.org/package/2006/metadata/core-properties' " w:xpath="/ns1:coreProperties[1]/ns0:title[1]" w:storeItemID="{6C3C8BC8-F283-45AE-878A-BAB7291924A1}"/>
          <w:text/>
        </w:sdtPr>
        <w:sdtEndPr/>
        <w:sdtContent>
          <w:r w:rsidR="00304D06">
            <w:t>Seniors</w:t>
          </w:r>
        </w:sdtContent>
      </w:sdt>
    </w:p>
    <w:sdt>
      <w:sdtPr>
        <w:alias w:val="Subject"/>
        <w:tag w:val=""/>
        <w:id w:val="-472139675"/>
        <w:placeholder>
          <w:docPart w:val="10D6513FF7D9482DBF35F8C750840C0A"/>
        </w:placeholder>
        <w:dataBinding w:prefixMappings="xmlns:ns0='http://purl.org/dc/elements/1.1/' xmlns:ns1='http://schemas.openxmlformats.org/package/2006/metadata/core-properties' " w:xpath="/ns1:coreProperties[1]/ns0:subject[1]" w:storeItemID="{6C3C8BC8-F283-45AE-878A-BAB7291924A1}"/>
        <w:text/>
      </w:sdtPr>
      <w:sdtEndPr/>
      <w:sdtContent>
        <w:p w14:paraId="3EC6362A" w14:textId="25037EC5" w:rsidR="002D3BA6" w:rsidRDefault="00EF7B15" w:rsidP="00B6067A">
          <w:pPr>
            <w:pStyle w:val="Subtitle"/>
          </w:pPr>
          <w:r>
            <w:t>Phase One Consultation: National Strategy to Achieve Gender Equality</w:t>
          </w:r>
        </w:p>
      </w:sdtContent>
    </w:sdt>
    <w:p w14:paraId="37C0904F" w14:textId="77777777" w:rsidR="00BA21AF" w:rsidRDefault="00BA21AF" w:rsidP="00BA21AF">
      <w:pPr>
        <w:pStyle w:val="Heading1"/>
      </w:pPr>
      <w:bookmarkStart w:id="1" w:name="_Toc96091122"/>
      <w:bookmarkStart w:id="2" w:name="_Toc96094525"/>
      <w:bookmarkStart w:id="3" w:name="_Toc96094558"/>
      <w:bookmarkStart w:id="4" w:name="_Toc96326913"/>
      <w:bookmarkEnd w:id="0"/>
      <w:bookmarkEnd w:id="1"/>
      <w:bookmarkEnd w:id="2"/>
      <w:bookmarkEnd w:id="3"/>
      <w:bookmarkEnd w:id="4"/>
      <w:r w:rsidRPr="00467470">
        <w:t>Introduction</w:t>
      </w:r>
    </w:p>
    <w:p w14:paraId="716CF9F1" w14:textId="77777777" w:rsidR="00BA21AF" w:rsidRPr="00265614" w:rsidRDefault="00BA21AF" w:rsidP="00BA21AF">
      <w:pPr>
        <w:rPr>
          <w:rFonts w:eastAsia="Times New Roman"/>
          <w:lang w:eastAsia="en-AU"/>
        </w:rPr>
      </w:pPr>
      <w:r w:rsidRPr="00265614">
        <w:rPr>
          <w:rFonts w:eastAsia="Times New Roman"/>
          <w:lang w:eastAsia="en-AU"/>
        </w:rPr>
        <w:t>Gender equality is at the heart of the Australian Government’s vision for a better future, and the Government is committed to restoring Australia’s leadership on gender equality. </w:t>
      </w:r>
    </w:p>
    <w:p w14:paraId="7CBD8B2F" w14:textId="77777777" w:rsidR="00BA21AF" w:rsidRPr="00265614" w:rsidRDefault="00BA21AF" w:rsidP="00BA21AF">
      <w:pPr>
        <w:rPr>
          <w:rFonts w:eastAsia="Times New Roman"/>
          <w:lang w:eastAsia="en-AU"/>
        </w:rPr>
      </w:pPr>
      <w:r w:rsidRPr="00265614">
        <w:rPr>
          <w:rFonts w:eastAsia="Times New Roman"/>
          <w:lang w:eastAsia="en-AU"/>
        </w:rPr>
        <w:t>The Government will develop a National Strategy to Achieve Gender Equality (the Strategy) to drive this ambition.</w:t>
      </w:r>
    </w:p>
    <w:p w14:paraId="0E917500" w14:textId="77777777" w:rsidR="00BA21AF" w:rsidRPr="00265614" w:rsidRDefault="00BA21AF" w:rsidP="00BA21AF">
      <w:pPr>
        <w:pStyle w:val="Heading2"/>
        <w:rPr>
          <w:rFonts w:eastAsia="Times New Roman"/>
          <w:lang w:eastAsia="en-AU"/>
        </w:rPr>
      </w:pPr>
      <w:r w:rsidRPr="00265614">
        <w:rPr>
          <w:rFonts w:eastAsia="Times New Roman"/>
          <w:lang w:eastAsia="en-AU"/>
        </w:rPr>
        <w:t>What will the Strategy do?</w:t>
      </w:r>
    </w:p>
    <w:p w14:paraId="7D423C44" w14:textId="77777777" w:rsidR="00BA21AF" w:rsidRPr="00265614" w:rsidRDefault="00BA21AF" w:rsidP="00BA21AF">
      <w:pPr>
        <w:rPr>
          <w:rFonts w:eastAsia="Times New Roman" w:cstheme="minorHAnsi"/>
          <w:lang w:eastAsia="en-AU"/>
        </w:rPr>
      </w:pPr>
      <w:r w:rsidRPr="00265614">
        <w:rPr>
          <w:rFonts w:eastAsia="Times New Roman" w:cstheme="minorHAnsi"/>
          <w:lang w:eastAsia="en-AU"/>
        </w:rPr>
        <w:t xml:space="preserve">The Strategy will guide whole of community action to help make Australia one of the best countries in the world for equality between women and men. </w:t>
      </w:r>
      <w:proofErr w:type="gramStart"/>
      <w:r w:rsidRPr="00265614">
        <w:rPr>
          <w:rFonts w:eastAsia="Times New Roman" w:cstheme="minorHAnsi"/>
          <w:lang w:eastAsia="en-AU"/>
        </w:rPr>
        <w:t>It is an important mechanism to elevate and prioritise actions that will achieve gender equality.</w:t>
      </w:r>
      <w:proofErr w:type="gramEnd"/>
    </w:p>
    <w:p w14:paraId="710EF08A" w14:textId="77777777" w:rsidR="00BA21AF" w:rsidRPr="00265614" w:rsidRDefault="00BA21AF" w:rsidP="00BA21AF">
      <w:pPr>
        <w:rPr>
          <w:rFonts w:eastAsia="Times New Roman" w:cstheme="minorHAnsi"/>
          <w:lang w:eastAsia="en-AU"/>
        </w:rPr>
      </w:pPr>
      <w:r w:rsidRPr="00265614">
        <w:rPr>
          <w:rFonts w:eastAsia="Times New Roman" w:cstheme="minorHAnsi"/>
          <w:lang w:eastAsia="en-AU"/>
        </w:rPr>
        <w:t>The Strategy will complement other efforts across the Government to achieve gender equality, including:</w:t>
      </w:r>
    </w:p>
    <w:p w14:paraId="652ED771" w14:textId="77777777" w:rsidR="00BA21AF" w:rsidRPr="00265614" w:rsidRDefault="00BA21AF" w:rsidP="00BA21AF">
      <w:pPr>
        <w:pStyle w:val="BulletedList-Level1"/>
        <w:rPr>
          <w:rFonts w:eastAsia="Times New Roman" w:cstheme="minorHAnsi"/>
          <w:lang w:eastAsia="en-AU"/>
        </w:rPr>
      </w:pPr>
      <w:r w:rsidRPr="00265614">
        <w:rPr>
          <w:rFonts w:eastAsia="Times New Roman" w:cstheme="minorHAnsi"/>
          <w:lang w:eastAsia="en-AU"/>
        </w:rPr>
        <w:t>the </w:t>
      </w:r>
      <w:hyperlink r:id="rId11" w:history="1">
        <w:r w:rsidRPr="00265614">
          <w:rPr>
            <w:rFonts w:eastAsia="Times New Roman" w:cstheme="minorHAnsi"/>
            <w:i/>
            <w:iCs/>
            <w:color w:val="0062A0"/>
            <w:u w:val="single"/>
            <w:bdr w:val="none" w:sz="0" w:space="0" w:color="auto" w:frame="1"/>
            <w:lang w:eastAsia="en-AU"/>
          </w:rPr>
          <w:t>National Plan to End Violence against Women and Children 2022–32</w:t>
        </w:r>
      </w:hyperlink>
      <w:r w:rsidRPr="00265614">
        <w:rPr>
          <w:rFonts w:eastAsia="Times New Roman" w:cstheme="minorHAnsi"/>
          <w:lang w:eastAsia="en-AU"/>
        </w:rPr>
        <w:t> (National Plan)</w:t>
      </w:r>
    </w:p>
    <w:p w14:paraId="510BE6E3" w14:textId="77777777" w:rsidR="00BA21AF" w:rsidRPr="00265614" w:rsidRDefault="00BA21AF" w:rsidP="00BA21AF">
      <w:pPr>
        <w:pStyle w:val="BulletedList-Level1"/>
        <w:rPr>
          <w:rFonts w:eastAsia="Times New Roman" w:cstheme="minorHAnsi"/>
          <w:lang w:eastAsia="en-AU"/>
        </w:rPr>
      </w:pPr>
      <w:r w:rsidRPr="00265614">
        <w:rPr>
          <w:rFonts w:eastAsia="Times New Roman" w:cstheme="minorHAnsi"/>
          <w:lang w:eastAsia="en-AU"/>
        </w:rPr>
        <w:t>the Government’s response to the Australian Human Rights Commission’s </w:t>
      </w:r>
      <w:hyperlink r:id="rId12" w:history="1">
        <w:proofErr w:type="spellStart"/>
        <w:r w:rsidRPr="00265614">
          <w:rPr>
            <w:rFonts w:eastAsia="Times New Roman" w:cstheme="minorHAnsi"/>
            <w:color w:val="0062A0"/>
            <w:u w:val="single"/>
            <w:bdr w:val="none" w:sz="0" w:space="0" w:color="auto" w:frame="1"/>
            <w:lang w:eastAsia="en-AU"/>
          </w:rPr>
          <w:t>Respect@Work</w:t>
        </w:r>
        <w:proofErr w:type="spellEnd"/>
        <w:r w:rsidRPr="00265614">
          <w:rPr>
            <w:rFonts w:eastAsia="Times New Roman" w:cstheme="minorHAnsi"/>
            <w:color w:val="0062A0"/>
            <w:u w:val="single"/>
            <w:bdr w:val="none" w:sz="0" w:space="0" w:color="auto" w:frame="1"/>
            <w:lang w:eastAsia="en-AU"/>
          </w:rPr>
          <w:t xml:space="preserve"> Report</w:t>
        </w:r>
      </w:hyperlink>
    </w:p>
    <w:p w14:paraId="50A56E54" w14:textId="77777777" w:rsidR="00BA21AF" w:rsidRPr="00265614" w:rsidRDefault="00BA21AF" w:rsidP="00BA21AF">
      <w:pPr>
        <w:pStyle w:val="BulletedList-Level1"/>
        <w:rPr>
          <w:rFonts w:eastAsia="Times New Roman" w:cstheme="minorHAnsi"/>
          <w:lang w:eastAsia="en-AU"/>
        </w:rPr>
      </w:pPr>
      <w:r w:rsidRPr="00265614">
        <w:rPr>
          <w:rFonts w:eastAsia="Times New Roman" w:cstheme="minorHAnsi"/>
          <w:lang w:eastAsia="en-AU"/>
        </w:rPr>
        <w:t>the</w:t>
      </w:r>
      <w:r w:rsidRPr="00265614">
        <w:rPr>
          <w:rFonts w:eastAsia="Times New Roman" w:cstheme="minorHAnsi"/>
          <w:i/>
          <w:iCs/>
          <w:bdr w:val="none" w:sz="0" w:space="0" w:color="auto" w:frame="1"/>
          <w:lang w:eastAsia="en-AU"/>
        </w:rPr>
        <w:t> </w:t>
      </w:r>
      <w:hyperlink r:id="rId13" w:history="1">
        <w:r w:rsidRPr="00265614">
          <w:rPr>
            <w:rFonts w:eastAsia="Times New Roman" w:cstheme="minorHAnsi"/>
            <w:i/>
            <w:iCs/>
            <w:color w:val="0062A0"/>
            <w:u w:val="single"/>
            <w:bdr w:val="none" w:sz="0" w:space="0" w:color="auto" w:frame="1"/>
            <w:lang w:eastAsia="en-AU"/>
          </w:rPr>
          <w:t>National Women’s Health Strategy 2020–2030</w:t>
        </w:r>
      </w:hyperlink>
    </w:p>
    <w:p w14:paraId="75865A83" w14:textId="77777777" w:rsidR="00BA21AF" w:rsidRPr="00265614" w:rsidRDefault="00BA21AF" w:rsidP="00BA21AF">
      <w:pPr>
        <w:rPr>
          <w:rFonts w:eastAsia="Times New Roman" w:cstheme="minorHAnsi"/>
          <w:lang w:eastAsia="en-AU"/>
        </w:rPr>
      </w:pPr>
      <w:r w:rsidRPr="00265614">
        <w:rPr>
          <w:rFonts w:eastAsia="Times New Roman" w:cstheme="minorHAnsi"/>
          <w:lang w:eastAsia="en-AU"/>
        </w:rPr>
        <w:t>It will also support the work of similar state and territory plans.</w:t>
      </w:r>
    </w:p>
    <w:p w14:paraId="3E4B572A" w14:textId="77777777" w:rsidR="00BA21AF" w:rsidRPr="00265614" w:rsidRDefault="00BA21AF" w:rsidP="00BA21AF">
      <w:pPr>
        <w:pStyle w:val="Heading2"/>
        <w:rPr>
          <w:rFonts w:eastAsia="Times New Roman"/>
          <w:lang w:eastAsia="en-AU"/>
        </w:rPr>
      </w:pPr>
      <w:r w:rsidRPr="00265614">
        <w:rPr>
          <w:rFonts w:eastAsia="Times New Roman"/>
          <w:lang w:eastAsia="en-AU"/>
        </w:rPr>
        <w:t xml:space="preserve">How </w:t>
      </w:r>
      <w:proofErr w:type="gramStart"/>
      <w:r w:rsidRPr="00265614">
        <w:rPr>
          <w:rFonts w:eastAsia="Times New Roman"/>
          <w:lang w:eastAsia="en-AU"/>
        </w:rPr>
        <w:t>will the Strategy be developed</w:t>
      </w:r>
      <w:proofErr w:type="gramEnd"/>
      <w:r w:rsidRPr="00265614">
        <w:rPr>
          <w:rFonts w:eastAsia="Times New Roman"/>
          <w:lang w:eastAsia="en-AU"/>
        </w:rPr>
        <w:t>?</w:t>
      </w:r>
    </w:p>
    <w:p w14:paraId="6B5BBE99" w14:textId="77777777" w:rsidR="00BA21AF" w:rsidRPr="00265614" w:rsidRDefault="00BA21AF" w:rsidP="00BA21AF">
      <w:pPr>
        <w:rPr>
          <w:rFonts w:eastAsia="Times New Roman"/>
          <w:lang w:eastAsia="en-AU"/>
        </w:rPr>
      </w:pPr>
      <w:r w:rsidRPr="00265614">
        <w:rPr>
          <w:rFonts w:eastAsia="Times New Roman"/>
          <w:lang w:eastAsia="en-AU"/>
        </w:rPr>
        <w:t>The Government will deliver the Strategy by mid-2023.</w:t>
      </w:r>
    </w:p>
    <w:p w14:paraId="39ABD357" w14:textId="77777777" w:rsidR="00BA21AF" w:rsidRPr="00265614" w:rsidRDefault="00BA21AF" w:rsidP="00BA21AF">
      <w:pPr>
        <w:rPr>
          <w:rFonts w:eastAsia="Times New Roman"/>
          <w:lang w:eastAsia="en-AU"/>
        </w:rPr>
      </w:pPr>
      <w:r w:rsidRPr="00265614">
        <w:rPr>
          <w:rFonts w:eastAsia="Times New Roman"/>
          <w:lang w:eastAsia="en-AU"/>
        </w:rPr>
        <w:t xml:space="preserve">The Office for Women will develop the strategy in consultation with women and girls around Australia, with a focus on ensuring that diverse voices </w:t>
      </w:r>
      <w:proofErr w:type="gramStart"/>
      <w:r w:rsidRPr="00265614">
        <w:rPr>
          <w:rFonts w:eastAsia="Times New Roman"/>
          <w:lang w:eastAsia="en-AU"/>
        </w:rPr>
        <w:t>are heard and included</w:t>
      </w:r>
      <w:proofErr w:type="gramEnd"/>
      <w:r w:rsidRPr="00265614">
        <w:rPr>
          <w:rFonts w:eastAsia="Times New Roman"/>
          <w:lang w:eastAsia="en-AU"/>
        </w:rPr>
        <w:t>.</w:t>
      </w:r>
    </w:p>
    <w:p w14:paraId="0FD78FD8" w14:textId="77777777" w:rsidR="00BA21AF" w:rsidRPr="00265614" w:rsidRDefault="00BA21AF" w:rsidP="00BA21AF">
      <w:pPr>
        <w:rPr>
          <w:rFonts w:eastAsia="Times New Roman"/>
          <w:lang w:eastAsia="en-AU"/>
        </w:rPr>
      </w:pPr>
      <w:r w:rsidRPr="00265614">
        <w:rPr>
          <w:rFonts w:eastAsia="Times New Roman"/>
          <w:lang w:eastAsia="en-AU"/>
        </w:rPr>
        <w:t xml:space="preserve">The Australian Government has also established the Women’s Economic Equality Taskforce (the Taskforce) to provide independent advice to </w:t>
      </w:r>
      <w:proofErr w:type="gramStart"/>
      <w:r w:rsidRPr="00265614">
        <w:rPr>
          <w:rFonts w:eastAsia="Times New Roman"/>
          <w:lang w:eastAsia="en-AU"/>
        </w:rPr>
        <w:t>Government,</w:t>
      </w:r>
      <w:proofErr w:type="gramEnd"/>
      <w:r w:rsidRPr="00265614">
        <w:rPr>
          <w:rFonts w:eastAsia="Times New Roman"/>
          <w:lang w:eastAsia="en-AU"/>
        </w:rPr>
        <w:t xml:space="preserve"> ensuring women are at the centre of policy and decision-making. The Taskforce will be a leading contributor to the Strategy, and as part of this will engage broadly with the Australian community to elevate and honour the voices of women in the Strategy.</w:t>
      </w:r>
    </w:p>
    <w:p w14:paraId="5BB5FFC6" w14:textId="77777777" w:rsidR="00BA21AF" w:rsidRPr="00265614" w:rsidRDefault="00BA21AF" w:rsidP="00BA21AF">
      <w:pPr>
        <w:rPr>
          <w:rFonts w:eastAsia="Times New Roman"/>
          <w:lang w:eastAsia="en-AU"/>
        </w:rPr>
      </w:pPr>
      <w:r w:rsidRPr="00265614">
        <w:rPr>
          <w:rFonts w:eastAsia="Times New Roman"/>
          <w:lang w:eastAsia="en-AU"/>
        </w:rPr>
        <w:t>The six </w:t>
      </w:r>
      <w:hyperlink r:id="rId14" w:history="1">
        <w:r w:rsidRPr="00265614">
          <w:rPr>
            <w:rFonts w:eastAsia="Times New Roman"/>
            <w:color w:val="0062A0"/>
            <w:u w:val="single"/>
            <w:bdr w:val="none" w:sz="0" w:space="0" w:color="auto" w:frame="1"/>
            <w:lang w:eastAsia="en-AU"/>
          </w:rPr>
          <w:t>National Women’s Alliances</w:t>
        </w:r>
      </w:hyperlink>
      <w:r w:rsidRPr="00265614">
        <w:rPr>
          <w:rFonts w:eastAsia="Times New Roman"/>
          <w:lang w:eastAsia="en-AU"/>
        </w:rPr>
        <w:t> will also play a key role in informing the development of the Strategy.</w:t>
      </w:r>
    </w:p>
    <w:p w14:paraId="70223282" w14:textId="77777777" w:rsidR="00BA21AF" w:rsidRPr="00265614" w:rsidRDefault="00BA21AF" w:rsidP="009C43CC">
      <w:pPr>
        <w:pStyle w:val="Heading1"/>
        <w:rPr>
          <w:rFonts w:eastAsia="Times New Roman"/>
          <w:lang w:eastAsia="en-AU"/>
        </w:rPr>
      </w:pPr>
      <w:r w:rsidRPr="00265614">
        <w:rPr>
          <w:rFonts w:eastAsia="Times New Roman"/>
          <w:lang w:eastAsia="en-AU"/>
        </w:rPr>
        <w:lastRenderedPageBreak/>
        <w:t>Consultation</w:t>
      </w:r>
    </w:p>
    <w:p w14:paraId="6AF88E6C" w14:textId="77777777" w:rsidR="00BA21AF" w:rsidRPr="00265614" w:rsidRDefault="00BA21AF" w:rsidP="00BA21AF">
      <w:pPr>
        <w:rPr>
          <w:rFonts w:eastAsia="Times New Roman"/>
          <w:lang w:eastAsia="en-AU"/>
        </w:rPr>
      </w:pPr>
      <w:r w:rsidRPr="00265614">
        <w:rPr>
          <w:rFonts w:eastAsia="Times New Roman"/>
          <w:lang w:eastAsia="en-AU"/>
        </w:rPr>
        <w:t xml:space="preserve">We will talk to women and girls around Australia to ensure their diverse voices </w:t>
      </w:r>
      <w:proofErr w:type="gramStart"/>
      <w:r w:rsidRPr="00265614">
        <w:rPr>
          <w:rFonts w:eastAsia="Times New Roman"/>
          <w:lang w:eastAsia="en-AU"/>
        </w:rPr>
        <w:t>are heard and included</w:t>
      </w:r>
      <w:proofErr w:type="gramEnd"/>
      <w:r w:rsidRPr="00265614">
        <w:rPr>
          <w:rFonts w:eastAsia="Times New Roman"/>
          <w:lang w:eastAsia="en-AU"/>
        </w:rPr>
        <w:t xml:space="preserve">. Consultations will reach people </w:t>
      </w:r>
      <w:r w:rsidRPr="00265614">
        <w:t>w</w:t>
      </w:r>
      <w:r w:rsidRPr="00265614">
        <w:rPr>
          <w:lang w:eastAsia="en-AU"/>
        </w:rPr>
        <w:t>ith lived experience of gender inequalit</w:t>
      </w:r>
      <w:r w:rsidRPr="00265614">
        <w:t xml:space="preserve">y, </w:t>
      </w:r>
      <w:r w:rsidRPr="00265614">
        <w:rPr>
          <w:lang w:eastAsia="en-AU"/>
        </w:rPr>
        <w:t>living with disability</w:t>
      </w:r>
      <w:r w:rsidRPr="00265614">
        <w:t xml:space="preserve">, First Nations people, </w:t>
      </w:r>
      <w:r w:rsidRPr="00265614">
        <w:rPr>
          <w:lang w:eastAsia="en-AU"/>
        </w:rPr>
        <w:t>people who are LGBTQIA+</w:t>
      </w:r>
      <w:r w:rsidRPr="00265614">
        <w:t xml:space="preserve">, </w:t>
      </w:r>
      <w:r w:rsidRPr="00265614">
        <w:rPr>
          <w:lang w:eastAsia="en-AU"/>
        </w:rPr>
        <w:t xml:space="preserve">migrant and refugee </w:t>
      </w:r>
      <w:r>
        <w:rPr>
          <w:lang w:eastAsia="en-AU"/>
        </w:rPr>
        <w:t>people</w:t>
      </w:r>
      <w:r w:rsidRPr="00265614">
        <w:t xml:space="preserve">, </w:t>
      </w:r>
      <w:r w:rsidRPr="00265614">
        <w:rPr>
          <w:lang w:eastAsia="en-AU"/>
        </w:rPr>
        <w:t>those living in regional and remote areas</w:t>
      </w:r>
      <w:r w:rsidRPr="00265614">
        <w:t xml:space="preserve"> and </w:t>
      </w:r>
      <w:r w:rsidRPr="00265614">
        <w:rPr>
          <w:lang w:eastAsia="en-AU"/>
        </w:rPr>
        <w:t>people from all backgrounds and classes.</w:t>
      </w:r>
    </w:p>
    <w:p w14:paraId="5C7CC656" w14:textId="77777777" w:rsidR="00BA21AF" w:rsidRPr="00265614" w:rsidRDefault="00BA21AF" w:rsidP="00BA21AF">
      <w:pPr>
        <w:rPr>
          <w:rFonts w:eastAsia="Times New Roman"/>
          <w:lang w:eastAsia="en-AU"/>
        </w:rPr>
      </w:pPr>
      <w:r w:rsidRPr="00265614">
        <w:rPr>
          <w:rFonts w:eastAsia="Times New Roman"/>
          <w:lang w:eastAsia="en-AU"/>
        </w:rPr>
        <w:t xml:space="preserve">The consultation </w:t>
      </w:r>
      <w:proofErr w:type="gramStart"/>
      <w:r w:rsidRPr="00265614">
        <w:rPr>
          <w:rFonts w:eastAsia="Times New Roman"/>
          <w:lang w:eastAsia="en-AU"/>
        </w:rPr>
        <w:t>will be undertaken</w:t>
      </w:r>
      <w:proofErr w:type="gramEnd"/>
      <w:r w:rsidRPr="00265614">
        <w:rPr>
          <w:rFonts w:eastAsia="Times New Roman"/>
          <w:lang w:eastAsia="en-AU"/>
        </w:rPr>
        <w:t xml:space="preserve"> in </w:t>
      </w:r>
      <w:r w:rsidRPr="009C43CC">
        <w:rPr>
          <w:rFonts w:eastAsia="Times New Roman"/>
          <w:b/>
          <w:lang w:eastAsia="en-AU"/>
        </w:rPr>
        <w:t>two stages.</w:t>
      </w:r>
    </w:p>
    <w:p w14:paraId="39D1A9E2" w14:textId="77777777" w:rsidR="00BA21AF" w:rsidRPr="00265614" w:rsidRDefault="00BA21AF" w:rsidP="00BA21AF">
      <w:pPr>
        <w:rPr>
          <w:rFonts w:eastAsia="Times New Roman"/>
          <w:lang w:eastAsia="en-AU"/>
        </w:rPr>
      </w:pPr>
      <w:r w:rsidRPr="00265614">
        <w:rPr>
          <w:rFonts w:eastAsia="Times New Roman"/>
          <w:lang w:eastAsia="en-AU"/>
        </w:rPr>
        <w:t>Starting in November, the Office for Women will lead targeted national consultations to inform the early development of the Strategy. These will take place across Australia and include discussions with a range of stakeholders, including gender experts, academics, economists, women’s alliances, the community sector, unions and business.</w:t>
      </w:r>
    </w:p>
    <w:p w14:paraId="3B6F185F" w14:textId="77777777" w:rsidR="00BA21AF" w:rsidRPr="00265614" w:rsidRDefault="00BA21AF" w:rsidP="00BA21AF">
      <w:pPr>
        <w:rPr>
          <w:rFonts w:eastAsia="Times New Roman"/>
          <w:lang w:eastAsia="en-AU"/>
        </w:rPr>
      </w:pPr>
      <w:r w:rsidRPr="00265614">
        <w:rPr>
          <w:rFonts w:eastAsia="Times New Roman"/>
          <w:lang w:eastAsia="en-AU"/>
        </w:rPr>
        <w:t xml:space="preserve">Early next year (2023), broader community consultations will provide an opportunity for people to share their views of how we achieve gender equality in Australia and how this </w:t>
      </w:r>
      <w:proofErr w:type="gramStart"/>
      <w:r w:rsidRPr="00265614">
        <w:rPr>
          <w:rFonts w:eastAsia="Times New Roman"/>
          <w:lang w:eastAsia="en-AU"/>
        </w:rPr>
        <w:t>should be reflected</w:t>
      </w:r>
      <w:proofErr w:type="gramEnd"/>
      <w:r w:rsidRPr="00265614">
        <w:rPr>
          <w:rFonts w:eastAsia="Times New Roman"/>
          <w:lang w:eastAsia="en-AU"/>
        </w:rPr>
        <w:t xml:space="preserve"> in the strategy.</w:t>
      </w:r>
    </w:p>
    <w:p w14:paraId="3006C31D" w14:textId="77777777" w:rsidR="00BA21AF" w:rsidRPr="00265614" w:rsidRDefault="00BA21AF" w:rsidP="00BA21AF">
      <w:pPr>
        <w:rPr>
          <w:rFonts w:eastAsia="Times New Roman"/>
          <w:lang w:eastAsia="en-AU"/>
        </w:rPr>
      </w:pPr>
      <w:r w:rsidRPr="00265614">
        <w:rPr>
          <w:rFonts w:eastAsia="Times New Roman"/>
          <w:lang w:eastAsia="en-AU"/>
        </w:rPr>
        <w:t>The Strategy will also draw from a comprehensive evidence base, and reflect public commentary, recent consultations and submissions to government. It will draw from contemporary research and reports, including those prepared for the </w:t>
      </w:r>
      <w:hyperlink r:id="rId15" w:history="1">
        <w:r w:rsidRPr="00265614">
          <w:rPr>
            <w:rFonts w:eastAsia="Times New Roman"/>
            <w:color w:val="0062A0"/>
            <w:u w:val="single"/>
            <w:bdr w:val="none" w:sz="0" w:space="0" w:color="auto" w:frame="1"/>
            <w:lang w:eastAsia="en-AU"/>
          </w:rPr>
          <w:t>Jobs and Skills Summit and resulting Employment White Paper</w:t>
        </w:r>
      </w:hyperlink>
    </w:p>
    <w:p w14:paraId="0E77F7C5" w14:textId="77777777" w:rsidR="00BA21AF" w:rsidRPr="00265614" w:rsidRDefault="00BA21AF" w:rsidP="00BA21AF">
      <w:pPr>
        <w:rPr>
          <w:rFonts w:eastAsia="Times New Roman"/>
          <w:lang w:eastAsia="en-AU"/>
        </w:rPr>
      </w:pPr>
      <w:r w:rsidRPr="00265614">
        <w:rPr>
          <w:rFonts w:eastAsia="Times New Roman"/>
          <w:lang w:eastAsia="en-AU"/>
        </w:rPr>
        <w:t xml:space="preserve">Further information on consultation </w:t>
      </w:r>
      <w:proofErr w:type="gramStart"/>
      <w:r w:rsidRPr="00265614">
        <w:rPr>
          <w:rFonts w:eastAsia="Times New Roman"/>
          <w:lang w:eastAsia="en-AU"/>
        </w:rPr>
        <w:t>will be provided</w:t>
      </w:r>
      <w:proofErr w:type="gramEnd"/>
      <w:r w:rsidRPr="00265614">
        <w:rPr>
          <w:rFonts w:eastAsia="Times New Roman"/>
          <w:lang w:eastAsia="en-AU"/>
        </w:rPr>
        <w:t xml:space="preserve"> on the Office for Women’s </w:t>
      </w:r>
      <w:hyperlink r:id="rId16" w:history="1">
        <w:r w:rsidRPr="00265614">
          <w:rPr>
            <w:rFonts w:eastAsia="Times New Roman"/>
            <w:color w:val="3266AB"/>
            <w:u w:val="single"/>
            <w:lang w:eastAsia="en-AU"/>
          </w:rPr>
          <w:t>webpage</w:t>
        </w:r>
      </w:hyperlink>
      <w:r w:rsidRPr="00265614">
        <w:rPr>
          <w:rFonts w:eastAsia="Times New Roman"/>
          <w:lang w:eastAsia="en-AU"/>
        </w:rPr>
        <w:t xml:space="preserve"> as consultation approaches are developed.</w:t>
      </w:r>
    </w:p>
    <w:p w14:paraId="2B68F7F1" w14:textId="77777777" w:rsidR="00BA21AF" w:rsidRPr="00265614" w:rsidRDefault="00BA21AF" w:rsidP="00BA21AF">
      <w:pPr>
        <w:rPr>
          <w:rFonts w:eastAsia="Times New Roman"/>
          <w:lang w:eastAsia="en-AU"/>
        </w:rPr>
      </w:pPr>
      <w:r w:rsidRPr="00265614">
        <w:rPr>
          <w:rFonts w:eastAsia="Times New Roman"/>
          <w:lang w:eastAsia="en-AU"/>
        </w:rPr>
        <w:t>For further information, express interest in being included in consultation, or provide information, contact: </w:t>
      </w:r>
      <w:hyperlink r:id="rId17" w:history="1">
        <w:r w:rsidRPr="00265614">
          <w:rPr>
            <w:rFonts w:eastAsia="Times New Roman"/>
            <w:color w:val="0062A0"/>
            <w:u w:val="single"/>
            <w:bdr w:val="none" w:sz="0" w:space="0" w:color="auto" w:frame="1"/>
            <w:lang w:eastAsia="en-AU"/>
          </w:rPr>
          <w:t>OFWengagement@pmc.gov.au</w:t>
        </w:r>
      </w:hyperlink>
    </w:p>
    <w:p w14:paraId="74FC94F1" w14:textId="77777777" w:rsidR="00BA21AF" w:rsidRPr="00E150E6" w:rsidRDefault="00BA21AF" w:rsidP="009C43CC">
      <w:pPr>
        <w:pStyle w:val="Heading1"/>
      </w:pPr>
      <w:r w:rsidRPr="00E150E6">
        <w:t xml:space="preserve">Current situation </w:t>
      </w:r>
    </w:p>
    <w:p w14:paraId="18EACAD4" w14:textId="77777777" w:rsidR="00BA21AF" w:rsidRDefault="00BA21AF" w:rsidP="00BA21AF">
      <w:pPr>
        <w:spacing w:after="200"/>
        <w:rPr>
          <w:b/>
          <w:color w:val="FF0000"/>
        </w:rPr>
      </w:pPr>
      <w:r>
        <w:t xml:space="preserve">(Note: The research and evidence outlined in this paper are not intended to be </w:t>
      </w:r>
      <w:proofErr w:type="gramStart"/>
      <w:r>
        <w:t>comprehensive,</w:t>
      </w:r>
      <w:proofErr w:type="gramEnd"/>
      <w:r>
        <w:t xml:space="preserve"> instead they are used to facilitate discussion.)</w:t>
      </w:r>
    </w:p>
    <w:p w14:paraId="4B26576E" w14:textId="382C76CB" w:rsidR="00304D06" w:rsidRPr="00304D06" w:rsidRDefault="00304D06" w:rsidP="00BD7C4F">
      <w:pPr>
        <w:pStyle w:val="ListParagraph"/>
        <w:numPr>
          <w:ilvl w:val="0"/>
          <w:numId w:val="36"/>
        </w:numPr>
        <w:spacing w:line="24" w:lineRule="atLeast"/>
        <w:contextualSpacing w:val="0"/>
        <w:rPr>
          <w:szCs w:val="18"/>
        </w:rPr>
      </w:pPr>
      <w:r w:rsidRPr="00304D06">
        <w:rPr>
          <w:szCs w:val="18"/>
        </w:rPr>
        <w:t>Inequitable labour markets and household dynamics over a women’s lifetime res</w:t>
      </w:r>
      <w:r w:rsidR="00465A84">
        <w:rPr>
          <w:szCs w:val="18"/>
        </w:rPr>
        <w:t>ulted in women retiring with 23 per cent</w:t>
      </w:r>
      <w:r w:rsidRPr="00304D06">
        <w:rPr>
          <w:szCs w:val="18"/>
        </w:rPr>
        <w:t xml:space="preserve"> less superannuation than </w:t>
      </w:r>
      <w:proofErr w:type="gramStart"/>
      <w:r w:rsidRPr="00304D06">
        <w:rPr>
          <w:szCs w:val="18"/>
        </w:rPr>
        <w:t>men</w:t>
      </w:r>
      <w:proofErr w:type="gramEnd"/>
      <w:r w:rsidRPr="00304D06">
        <w:rPr>
          <w:szCs w:val="18"/>
        </w:rPr>
        <w:t>. At 60–64 years-old, men have $181,000 in superannuation, while women have $140,000.</w:t>
      </w:r>
      <w:r w:rsidRPr="00304D06">
        <w:rPr>
          <w:rStyle w:val="FootnoteReference"/>
          <w:szCs w:val="18"/>
        </w:rPr>
        <w:footnoteReference w:id="2"/>
      </w:r>
      <w:r w:rsidRPr="00304D06">
        <w:rPr>
          <w:szCs w:val="18"/>
        </w:rPr>
        <w:t xml:space="preserve"> </w:t>
      </w:r>
    </w:p>
    <w:p w14:paraId="18F4FA65" w14:textId="03AC935D" w:rsidR="00304D06" w:rsidRPr="00304D06" w:rsidRDefault="00304D06" w:rsidP="00BD7C4F">
      <w:pPr>
        <w:pStyle w:val="ListParagraph"/>
        <w:numPr>
          <w:ilvl w:val="0"/>
          <w:numId w:val="36"/>
        </w:numPr>
        <w:spacing w:line="24" w:lineRule="atLeast"/>
        <w:contextualSpacing w:val="0"/>
        <w:rPr>
          <w:szCs w:val="18"/>
        </w:rPr>
      </w:pPr>
      <w:r w:rsidRPr="00304D06">
        <w:rPr>
          <w:szCs w:val="18"/>
        </w:rPr>
        <w:t>Older women (aged 55 and over) are the fastest growing cohort in the homele</w:t>
      </w:r>
      <w:r>
        <w:rPr>
          <w:szCs w:val="18"/>
        </w:rPr>
        <w:t>ss population, increasing by 31 per cent</w:t>
      </w:r>
      <w:r w:rsidRPr="00304D06">
        <w:rPr>
          <w:szCs w:val="18"/>
        </w:rPr>
        <w:t xml:space="preserve"> between 2011 and 2016. Current trends of homelessness in older women will see 15,000 homeless women aged over 55 by 2030.</w:t>
      </w:r>
      <w:r w:rsidR="00164FD2">
        <w:rPr>
          <w:rStyle w:val="FootnoteReference"/>
          <w:szCs w:val="18"/>
        </w:rPr>
        <w:footnoteReference w:id="3"/>
      </w:r>
      <w:r w:rsidRPr="00304D06">
        <w:rPr>
          <w:szCs w:val="18"/>
        </w:rPr>
        <w:t xml:space="preserve"> </w:t>
      </w:r>
      <w:proofErr w:type="gramStart"/>
      <w:r w:rsidRPr="00304D06">
        <w:rPr>
          <w:szCs w:val="18"/>
        </w:rPr>
        <w:t xml:space="preserve">A third of all women aged 65 </w:t>
      </w:r>
      <w:r w:rsidRPr="00304D06">
        <w:rPr>
          <w:szCs w:val="18"/>
        </w:rPr>
        <w:lastRenderedPageBreak/>
        <w:t>and over rely on the full age pension as their sole source of income.</w:t>
      </w:r>
      <w:proofErr w:type="gramEnd"/>
      <w:r w:rsidRPr="00304D06">
        <w:rPr>
          <w:rStyle w:val="FootnoteReference"/>
          <w:szCs w:val="18"/>
        </w:rPr>
        <w:footnoteReference w:id="4"/>
      </w:r>
      <w:r w:rsidRPr="00304D06">
        <w:rPr>
          <w:szCs w:val="18"/>
        </w:rPr>
        <w:t xml:space="preserve"> It is likely that this trend will continue given the ongoing shortage of affordable housing, the ageing population and the significant gap in wealth accumulation between men and women across their lifetime</w:t>
      </w:r>
      <w:r w:rsidRPr="00304D06">
        <w:rPr>
          <w:rStyle w:val="FootnoteReference"/>
          <w:szCs w:val="18"/>
        </w:rPr>
        <w:footnoteReference w:id="5"/>
      </w:r>
      <w:r w:rsidRPr="00304D06">
        <w:rPr>
          <w:szCs w:val="18"/>
        </w:rPr>
        <w:t xml:space="preserve"> </w:t>
      </w:r>
    </w:p>
    <w:p w14:paraId="0936A998" w14:textId="1439E37F" w:rsidR="00304D06" w:rsidRPr="00304D06" w:rsidRDefault="00304D06" w:rsidP="00BD7C4F">
      <w:pPr>
        <w:pStyle w:val="ListParagraph"/>
        <w:numPr>
          <w:ilvl w:val="0"/>
          <w:numId w:val="36"/>
        </w:numPr>
        <w:spacing w:line="24" w:lineRule="atLeast"/>
        <w:contextualSpacing w:val="0"/>
        <w:rPr>
          <w:szCs w:val="18"/>
        </w:rPr>
      </w:pPr>
      <w:r>
        <w:rPr>
          <w:szCs w:val="18"/>
        </w:rPr>
        <w:t>Around 2 in 3 people (65 per cent</w:t>
      </w:r>
      <w:r w:rsidRPr="00304D06">
        <w:rPr>
          <w:szCs w:val="18"/>
        </w:rPr>
        <w:t xml:space="preserve">) using aged care services </w:t>
      </w:r>
      <w:r w:rsidR="005D01FF">
        <w:rPr>
          <w:szCs w:val="18"/>
        </w:rPr>
        <w:t xml:space="preserve">in 2021 </w:t>
      </w:r>
      <w:r w:rsidRPr="00304D06">
        <w:rPr>
          <w:szCs w:val="18"/>
        </w:rPr>
        <w:t>were women.</w:t>
      </w:r>
      <w:r w:rsidRPr="00304D06">
        <w:rPr>
          <w:szCs w:val="18"/>
          <w:vertAlign w:val="superscript"/>
        </w:rPr>
        <w:footnoteReference w:id="6"/>
      </w:r>
      <w:r w:rsidRPr="00304D06">
        <w:rPr>
          <w:szCs w:val="18"/>
        </w:rPr>
        <w:t xml:space="preserve"> In April to June 2022</w:t>
      </w:r>
      <w:r w:rsidR="005D01FF">
        <w:rPr>
          <w:szCs w:val="18"/>
        </w:rPr>
        <w:t>,</w:t>
      </w:r>
      <w:r w:rsidRPr="00304D06">
        <w:rPr>
          <w:szCs w:val="18"/>
        </w:rPr>
        <w:t xml:space="preserve"> there was an average of 34 reportable incidents of unlawful sexual contact or inappropriate sexual conduct in aged care per week across Australia. In the same period</w:t>
      </w:r>
      <w:r w:rsidR="005D01FF">
        <w:rPr>
          <w:szCs w:val="18"/>
        </w:rPr>
        <w:t>,</w:t>
      </w:r>
      <w:r w:rsidRPr="00304D06">
        <w:rPr>
          <w:szCs w:val="18"/>
        </w:rPr>
        <w:t xml:space="preserve"> there was an average of 10 reportable incidents of stealing or financial coercion per week.</w:t>
      </w:r>
      <w:r w:rsidRPr="00304D06">
        <w:rPr>
          <w:szCs w:val="18"/>
          <w:vertAlign w:val="superscript"/>
        </w:rPr>
        <w:footnoteReference w:id="7"/>
      </w:r>
      <w:r w:rsidRPr="00304D06">
        <w:rPr>
          <w:szCs w:val="18"/>
        </w:rPr>
        <w:t xml:space="preserve"> </w:t>
      </w:r>
    </w:p>
    <w:p w14:paraId="1C4FF598" w14:textId="38C4EB4D" w:rsidR="00304D06" w:rsidRPr="009C43CC" w:rsidRDefault="00304D06" w:rsidP="009C43CC">
      <w:pPr>
        <w:pStyle w:val="ListParagraph"/>
        <w:numPr>
          <w:ilvl w:val="0"/>
          <w:numId w:val="36"/>
        </w:numPr>
        <w:spacing w:line="24" w:lineRule="atLeast"/>
        <w:contextualSpacing w:val="0"/>
        <w:rPr>
          <w:szCs w:val="18"/>
        </w:rPr>
      </w:pPr>
      <w:r>
        <w:rPr>
          <w:szCs w:val="18"/>
        </w:rPr>
        <w:t>87 per cent</w:t>
      </w:r>
      <w:r w:rsidRPr="00304D06">
        <w:rPr>
          <w:szCs w:val="18"/>
        </w:rPr>
        <w:t xml:space="preserve"> of women aged 65 and ove</w:t>
      </w:r>
      <w:r w:rsidR="00DB31AD">
        <w:rPr>
          <w:szCs w:val="18"/>
        </w:rPr>
        <w:t>r have a chronic disease and 61 per cent</w:t>
      </w:r>
      <w:r w:rsidRPr="00304D06">
        <w:rPr>
          <w:szCs w:val="18"/>
        </w:rPr>
        <w:t xml:space="preserve"> of people living with dementia are women.</w:t>
      </w:r>
      <w:r w:rsidRPr="00304D06">
        <w:rPr>
          <w:szCs w:val="18"/>
          <w:vertAlign w:val="superscript"/>
        </w:rPr>
        <w:footnoteReference w:id="8"/>
      </w:r>
      <w:r w:rsidRPr="00304D06">
        <w:rPr>
          <w:szCs w:val="18"/>
        </w:rPr>
        <w:t xml:space="preserve"> </w:t>
      </w:r>
    </w:p>
    <w:p w14:paraId="3ED91FED" w14:textId="77777777" w:rsidR="00EF7B15" w:rsidRPr="002871FE" w:rsidRDefault="00EF7B15" w:rsidP="00BD7C4F">
      <w:pPr>
        <w:pStyle w:val="Heading1"/>
        <w:spacing w:line="24" w:lineRule="atLeast"/>
        <w:rPr>
          <w:highlight w:val="yellow"/>
        </w:rPr>
      </w:pPr>
      <w:r>
        <w:t>Drivers of gender inequality</w:t>
      </w:r>
    </w:p>
    <w:p w14:paraId="6351DC10" w14:textId="71271DCD" w:rsidR="005E6411" w:rsidRPr="00D162D0" w:rsidRDefault="00EF7B15" w:rsidP="00D162D0">
      <w:pPr>
        <w:spacing w:after="200" w:line="24" w:lineRule="atLeast"/>
        <w:ind w:left="142"/>
        <w:rPr>
          <w:b/>
          <w:color w:val="FF0000"/>
          <w:highlight w:val="yellow"/>
        </w:rPr>
      </w:pPr>
      <w:r>
        <w:t xml:space="preserve">Our initial research and stakeholder feedback to date suggests the following drivers of gender inequality </w:t>
      </w:r>
      <w:r w:rsidR="00304D06">
        <w:t>for older Australia</w:t>
      </w:r>
      <w:r w:rsidR="00304D06" w:rsidRPr="005D01FF">
        <w:t>ns</w:t>
      </w:r>
      <w:r w:rsidRPr="00075C3D">
        <w:t>:</w:t>
      </w:r>
      <w:r w:rsidR="00BA21AF" w:rsidRPr="00075C3D">
        <w:rPr>
          <w:b/>
          <w:highlight w:val="yellow"/>
        </w:rPr>
        <w:t xml:space="preserve"> </w:t>
      </w:r>
    </w:p>
    <w:p w14:paraId="23030118" w14:textId="77777777" w:rsidR="005E6411" w:rsidRDefault="00304D06" w:rsidP="00BD7C4F">
      <w:pPr>
        <w:numPr>
          <w:ilvl w:val="0"/>
          <w:numId w:val="37"/>
        </w:numPr>
        <w:spacing w:after="160" w:line="24" w:lineRule="atLeast"/>
      </w:pPr>
      <w:r w:rsidRPr="006E4262">
        <w:t xml:space="preserve">Women are more likely to face financial instability later in life, due to </w:t>
      </w:r>
      <w:r>
        <w:t>structural</w:t>
      </w:r>
      <w:r w:rsidRPr="006E4262">
        <w:t xml:space="preserve"> and </w:t>
      </w:r>
      <w:r>
        <w:t>societal challenges</w:t>
      </w:r>
      <w:r w:rsidRPr="006E4262">
        <w:t xml:space="preserve"> throughout </w:t>
      </w:r>
      <w:r>
        <w:t xml:space="preserve">their </w:t>
      </w:r>
      <w:r w:rsidR="005E6411">
        <w:t>working life.</w:t>
      </w:r>
    </w:p>
    <w:p w14:paraId="63734FFA" w14:textId="77777777" w:rsidR="002504C9" w:rsidRDefault="002504C9" w:rsidP="00BD7C4F">
      <w:pPr>
        <w:numPr>
          <w:ilvl w:val="0"/>
          <w:numId w:val="37"/>
        </w:numPr>
        <w:spacing w:after="160" w:line="24" w:lineRule="atLeast"/>
      </w:pPr>
      <w:r>
        <w:t xml:space="preserve">Older women also experience discrimination in the workplace, due to both their age and gender. </w:t>
      </w:r>
    </w:p>
    <w:p w14:paraId="0616F14B" w14:textId="2B876E10" w:rsidR="006D03E1" w:rsidRDefault="002504C9" w:rsidP="003A0A50">
      <w:pPr>
        <w:numPr>
          <w:ilvl w:val="1"/>
          <w:numId w:val="37"/>
        </w:numPr>
        <w:spacing w:after="160" w:line="24" w:lineRule="atLeast"/>
      </w:pPr>
      <w:r>
        <w:t>A 2015 survey found that 27 per cent of people older than 50 have faced discrimination in the workplace.</w:t>
      </w:r>
      <w:r>
        <w:rPr>
          <w:rStyle w:val="FootnoteReference"/>
        </w:rPr>
        <w:footnoteReference w:id="9"/>
      </w:r>
      <w:r w:rsidR="003C7D2E">
        <w:t xml:space="preserve"> It also found age discrimination </w:t>
      </w:r>
      <w:proofErr w:type="gramStart"/>
      <w:r w:rsidR="003C7D2E">
        <w:t>impacted</w:t>
      </w:r>
      <w:proofErr w:type="gramEnd"/>
      <w:r w:rsidR="003C7D2E">
        <w:t xml:space="preserve"> men and women differently</w:t>
      </w:r>
      <w:r w:rsidR="005452D6">
        <w:t xml:space="preserve">, with women being more likely than men to be perceived as having outdated skills, </w:t>
      </w:r>
      <w:r w:rsidR="006D03E1">
        <w:t xml:space="preserve">being slow to learn new things, or </w:t>
      </w:r>
      <w:r w:rsidR="00931A22">
        <w:t>deliver an unsatisfactory job</w:t>
      </w:r>
      <w:r w:rsidR="005452D6">
        <w:t>.</w:t>
      </w:r>
      <w:r w:rsidR="005452D6">
        <w:rPr>
          <w:rStyle w:val="FootnoteReference"/>
        </w:rPr>
        <w:footnoteReference w:id="10"/>
      </w:r>
      <w:r w:rsidR="00D162D0">
        <w:t xml:space="preserve"> </w:t>
      </w:r>
    </w:p>
    <w:p w14:paraId="6078DD40" w14:textId="5F5639E5" w:rsidR="005452D6" w:rsidRDefault="00931A22" w:rsidP="003A0A50">
      <w:pPr>
        <w:numPr>
          <w:ilvl w:val="1"/>
          <w:numId w:val="37"/>
        </w:numPr>
        <w:spacing w:after="160" w:line="24" w:lineRule="atLeast"/>
      </w:pPr>
      <w:r>
        <w:t xml:space="preserve">Older women also experience discriminatory </w:t>
      </w:r>
      <w:r w:rsidR="00D162D0">
        <w:t xml:space="preserve">assumptions around menopause, structural aspects of work creating or exacerbating </w:t>
      </w:r>
      <w:r w:rsidR="006D03E1">
        <w:t>menopausal inequality,</w:t>
      </w:r>
      <w:r w:rsidR="00D162D0">
        <w:rPr>
          <w:rStyle w:val="FootnoteReference"/>
        </w:rPr>
        <w:footnoteReference w:id="11"/>
      </w:r>
      <w:r w:rsidR="006D03E1">
        <w:t xml:space="preserve"> and blanket policies that may improve experiences for some but risk increasing stigma.</w:t>
      </w:r>
      <w:r w:rsidR="006D03E1">
        <w:rPr>
          <w:rStyle w:val="FootnoteReference"/>
        </w:rPr>
        <w:footnoteReference w:id="12"/>
      </w:r>
    </w:p>
    <w:p w14:paraId="1A0A4E8B" w14:textId="4761189A" w:rsidR="002504C9" w:rsidRDefault="005E6411" w:rsidP="003A0A50">
      <w:pPr>
        <w:numPr>
          <w:ilvl w:val="1"/>
          <w:numId w:val="37"/>
        </w:numPr>
        <w:spacing w:after="160" w:line="24" w:lineRule="atLeast"/>
      </w:pPr>
      <w:r>
        <w:t>W</w:t>
      </w:r>
      <w:r w:rsidR="003C7D2E">
        <w:t xml:space="preserve">omen were </w:t>
      </w:r>
      <w:r>
        <w:t xml:space="preserve">also </w:t>
      </w:r>
      <w:r w:rsidR="003C7D2E">
        <w:t xml:space="preserve">more likely </w:t>
      </w:r>
      <w:proofErr w:type="gramStart"/>
      <w:r w:rsidR="003C7D2E">
        <w:t>than men</w:t>
      </w:r>
      <w:proofErr w:type="gramEnd"/>
      <w:r w:rsidR="003C7D2E">
        <w:t xml:space="preserve"> to report that their most recent experience with discrimination affected their self-esteem or mental health, or caused them stress, and that it had a negative impact on their family, career or finances.</w:t>
      </w:r>
    </w:p>
    <w:p w14:paraId="32C4FB28" w14:textId="701A06F5" w:rsidR="00A04916" w:rsidRDefault="00A04916" w:rsidP="00A04916">
      <w:pPr>
        <w:numPr>
          <w:ilvl w:val="0"/>
          <w:numId w:val="37"/>
        </w:numPr>
        <w:spacing w:after="160" w:line="24" w:lineRule="atLeast"/>
      </w:pPr>
      <w:r>
        <w:lastRenderedPageBreak/>
        <w:t>Older Australians on lower incomes who do not own their own homes are at increasing risk of housing stress and instability, with private renters and single women facing particular risks.</w:t>
      </w:r>
      <w:r>
        <w:rPr>
          <w:rStyle w:val="FootnoteReference"/>
        </w:rPr>
        <w:footnoteReference w:id="13"/>
      </w:r>
      <w:r>
        <w:t xml:space="preserve"> </w:t>
      </w:r>
    </w:p>
    <w:p w14:paraId="3189E402" w14:textId="4C64C763" w:rsidR="00A04916" w:rsidRPr="006E4262" w:rsidRDefault="00A04916" w:rsidP="00A04916">
      <w:pPr>
        <w:numPr>
          <w:ilvl w:val="1"/>
          <w:numId w:val="37"/>
        </w:numPr>
        <w:spacing w:after="160" w:line="24" w:lineRule="atLeast"/>
      </w:pPr>
      <w:r>
        <w:t>Single older women are more likely to live in an unaffordable private rental property.</w:t>
      </w:r>
      <w:r>
        <w:rPr>
          <w:rStyle w:val="FootnoteReference"/>
        </w:rPr>
        <w:footnoteReference w:id="14"/>
      </w:r>
    </w:p>
    <w:p w14:paraId="4E54DEF7" w14:textId="46603228" w:rsidR="00304D06" w:rsidRDefault="00304D06" w:rsidP="00BD7C4F">
      <w:pPr>
        <w:numPr>
          <w:ilvl w:val="0"/>
          <w:numId w:val="37"/>
        </w:numPr>
        <w:spacing w:after="160" w:line="24" w:lineRule="atLeast"/>
      </w:pPr>
      <w:r>
        <w:t xml:space="preserve">Separation has a cumulative and negative effect on women over time, and comes with increased </w:t>
      </w:r>
      <w:r w:rsidR="00931A22">
        <w:t xml:space="preserve">risks to their housing security, both now </w:t>
      </w:r>
      <w:r>
        <w:t xml:space="preserve">and as they approach retirement. </w:t>
      </w:r>
    </w:p>
    <w:p w14:paraId="28FA8E36" w14:textId="77777777" w:rsidR="00304D06" w:rsidRDefault="00304D06" w:rsidP="00BD7C4F">
      <w:pPr>
        <w:numPr>
          <w:ilvl w:val="1"/>
          <w:numId w:val="37"/>
        </w:numPr>
        <w:spacing w:after="160" w:line="24" w:lineRule="atLeast"/>
      </w:pPr>
      <w:r>
        <w:t xml:space="preserve">The average divorced mother has less than 75 per cent of the total assets of the average divorced father, and less than half of the superannuation, even only one-to-four years after the divorce. </w:t>
      </w:r>
    </w:p>
    <w:p w14:paraId="2F2E7759" w14:textId="621BC744" w:rsidR="00304D06" w:rsidRDefault="00304D06" w:rsidP="00BD7C4F">
      <w:pPr>
        <w:numPr>
          <w:ilvl w:val="1"/>
          <w:numId w:val="37"/>
        </w:numPr>
        <w:spacing w:after="160" w:line="24" w:lineRule="atLeast"/>
      </w:pPr>
      <w:r>
        <w:t>Divorced mothers are also much more likely than divorced fathers to experience financial</w:t>
      </w:r>
      <w:r w:rsidR="00A04916">
        <w:t> </w:t>
      </w:r>
      <w:proofErr w:type="gramStart"/>
      <w:r>
        <w:t>stress</w:t>
      </w:r>
      <w:proofErr w:type="gramEnd"/>
      <w:r>
        <w:t>. Financial vulnerabilities of divorced women are long lasting, even after five years of separation. More than a third of single mothers live in poverty compared to 18 per cent of single father. Single women who do not own their home are at the greatest risk of poverty in retirement.</w:t>
      </w:r>
      <w:r>
        <w:rPr>
          <w:rStyle w:val="FootnoteReference"/>
        </w:rPr>
        <w:footnoteReference w:id="15"/>
      </w:r>
    </w:p>
    <w:p w14:paraId="24A560FC" w14:textId="1280E00A" w:rsidR="00304D06" w:rsidRDefault="00304D06" w:rsidP="00BD7C4F">
      <w:pPr>
        <w:numPr>
          <w:ilvl w:val="0"/>
          <w:numId w:val="37"/>
        </w:numPr>
        <w:spacing w:after="160" w:line="24" w:lineRule="atLeast"/>
      </w:pPr>
      <w:r w:rsidRPr="006E4262">
        <w:t>Inequitable labour market and household dynamics have resulted in a superannuation gap of around 23</w:t>
      </w:r>
      <w:r w:rsidR="00BA21AF">
        <w:t xml:space="preserve"> per cent</w:t>
      </w:r>
      <w:r w:rsidRPr="006E4262">
        <w:t xml:space="preserve"> at retirement age and older women presenting as fastest growing cohort in the homeless population.</w:t>
      </w:r>
    </w:p>
    <w:p w14:paraId="32C8CF70" w14:textId="58DEF249" w:rsidR="00304D06" w:rsidRPr="00931A22" w:rsidRDefault="00304D06" w:rsidP="00931A22">
      <w:pPr>
        <w:pStyle w:val="ListParagraph"/>
        <w:numPr>
          <w:ilvl w:val="0"/>
          <w:numId w:val="37"/>
        </w:numPr>
        <w:spacing w:after="160" w:line="24" w:lineRule="atLeast"/>
      </w:pPr>
      <w:r>
        <w:t>Given women</w:t>
      </w:r>
      <w:r w:rsidRPr="001F5268">
        <w:t xml:space="preserve"> have a longer life expectancy and often marry men older than them, women are less likely to have access to the support of a spouse in old age. Without care from a partner, these women enter permanent residential aged </w:t>
      </w:r>
      <w:proofErr w:type="gramStart"/>
      <w:r w:rsidRPr="001F5268">
        <w:t>care,</w:t>
      </w:r>
      <w:proofErr w:type="gramEnd"/>
      <w:r w:rsidRPr="001F5268">
        <w:t xml:space="preserve"> seek residential care services, home care or home support to a greater degree. </w:t>
      </w:r>
    </w:p>
    <w:p w14:paraId="512003DA" w14:textId="0A6D1356" w:rsidR="00EF7B15" w:rsidRPr="00FE630C" w:rsidRDefault="00465A84" w:rsidP="00EF7B15">
      <w:pPr>
        <w:pStyle w:val="Heading1"/>
      </w:pPr>
      <w:r>
        <w:t>Discussion</w:t>
      </w:r>
    </w:p>
    <w:p w14:paraId="11B438CD" w14:textId="6EA67EC9" w:rsidR="00465A84" w:rsidRPr="00805037" w:rsidRDefault="00465A84" w:rsidP="00465A84">
      <w:pPr>
        <w:rPr>
          <w:b/>
        </w:rPr>
      </w:pPr>
      <w:r>
        <w:t xml:space="preserve">We ask that you contribute your views on: </w:t>
      </w:r>
    </w:p>
    <w:p w14:paraId="49F3B988" w14:textId="3521B740" w:rsidR="00465A84" w:rsidRDefault="00465A84" w:rsidP="00465A84">
      <w:pPr>
        <w:pStyle w:val="ListParagraph"/>
        <w:numPr>
          <w:ilvl w:val="0"/>
          <w:numId w:val="38"/>
        </w:numPr>
      </w:pPr>
      <w:r>
        <w:t xml:space="preserve">What are the drivers of gender inequality </w:t>
      </w:r>
      <w:r w:rsidR="00BD7C4F">
        <w:t>for older Australians</w:t>
      </w:r>
      <w:r>
        <w:t>?</w:t>
      </w:r>
    </w:p>
    <w:p w14:paraId="262184ED" w14:textId="0419C63E" w:rsidR="00465A84" w:rsidRDefault="00465A84" w:rsidP="00465A84">
      <w:pPr>
        <w:pStyle w:val="ListParagraph"/>
        <w:numPr>
          <w:ilvl w:val="0"/>
          <w:numId w:val="38"/>
        </w:numPr>
      </w:pPr>
      <w:r>
        <w:t xml:space="preserve">What are the barriers to achieve greater gender equality </w:t>
      </w:r>
      <w:r w:rsidR="00BD7C4F">
        <w:t>for older Australians</w:t>
      </w:r>
      <w:r>
        <w:t>?</w:t>
      </w:r>
    </w:p>
    <w:p w14:paraId="6EF54EDD" w14:textId="51FCDD3A" w:rsidR="00465A84" w:rsidRDefault="00465A84" w:rsidP="00465A84">
      <w:pPr>
        <w:pStyle w:val="ListParagraph"/>
        <w:numPr>
          <w:ilvl w:val="0"/>
          <w:numId w:val="38"/>
        </w:numPr>
      </w:pPr>
      <w:r>
        <w:t xml:space="preserve">What are some concrete policy options that Government should consider to enable better sharing of </w:t>
      </w:r>
      <w:r w:rsidR="00BD7C4F">
        <w:t>services to older Australians</w:t>
      </w:r>
      <w:r>
        <w:t xml:space="preserve">? </w:t>
      </w:r>
    </w:p>
    <w:p w14:paraId="7D4C5AEF" w14:textId="611701FD" w:rsidR="004E54DE" w:rsidRDefault="004E54DE" w:rsidP="004E54DE">
      <w:pPr>
        <w:pStyle w:val="ListParagraph"/>
        <w:numPr>
          <w:ilvl w:val="1"/>
          <w:numId w:val="38"/>
        </w:numPr>
      </w:pPr>
      <w:r>
        <w:t>Should the government be encouraging older Australians to increase labour force participation?</w:t>
      </w:r>
    </w:p>
    <w:p w14:paraId="75498E90" w14:textId="23439610" w:rsidR="004E54DE" w:rsidRDefault="004E54DE" w:rsidP="004E54DE">
      <w:pPr>
        <w:pStyle w:val="ListParagraph"/>
        <w:numPr>
          <w:ilvl w:val="1"/>
          <w:numId w:val="38"/>
        </w:numPr>
      </w:pPr>
      <w:r>
        <w:t>Should the government remove / soften disincentives (means testing of the pension) for older Australians to increase labour force participation?</w:t>
      </w:r>
    </w:p>
    <w:p w14:paraId="6CBFECB5" w14:textId="1770A7B1" w:rsidR="004E54DE" w:rsidRDefault="004E54DE" w:rsidP="004E54DE">
      <w:pPr>
        <w:pStyle w:val="ListParagraph"/>
        <w:numPr>
          <w:ilvl w:val="1"/>
          <w:numId w:val="38"/>
        </w:numPr>
      </w:pPr>
      <w:r>
        <w:lastRenderedPageBreak/>
        <w:t>What impact does lower superannuation balances at retirement (when compared to men) have on older women’s choices around labour force participation?</w:t>
      </w:r>
    </w:p>
    <w:p w14:paraId="3AB91CDF" w14:textId="4E5851F8" w:rsidR="00465A84" w:rsidRPr="007F10FD" w:rsidRDefault="00465A84" w:rsidP="009C43CC">
      <w:pPr>
        <w:pStyle w:val="ListParagraph"/>
        <w:numPr>
          <w:ilvl w:val="0"/>
          <w:numId w:val="38"/>
        </w:numPr>
      </w:pPr>
      <w:r>
        <w:t xml:space="preserve">How do you think we best measure success of the Strategy? </w:t>
      </w:r>
    </w:p>
    <w:p w14:paraId="6A955CD8" w14:textId="77777777" w:rsidR="00465A84" w:rsidRDefault="00465A84" w:rsidP="00465A84">
      <w:r>
        <w:t xml:space="preserve">We are mindful of the need to ensure the rich variety of lived experiences of members of the Australian community </w:t>
      </w:r>
      <w:proofErr w:type="gramStart"/>
      <w:r>
        <w:t>are captured</w:t>
      </w:r>
      <w:proofErr w:type="gramEnd"/>
      <w:r>
        <w:t xml:space="preserve"> during this consultation process. This includes hearing from those who:</w:t>
      </w:r>
    </w:p>
    <w:p w14:paraId="7F17AF65" w14:textId="77777777" w:rsidR="00465A84" w:rsidRDefault="00465A84" w:rsidP="00465A84">
      <w:pPr>
        <w:pStyle w:val="ListParagraph"/>
        <w:numPr>
          <w:ilvl w:val="0"/>
          <w:numId w:val="39"/>
        </w:numPr>
      </w:pPr>
      <w:r>
        <w:t>are living with disability;</w:t>
      </w:r>
    </w:p>
    <w:p w14:paraId="4AB0A93B" w14:textId="77777777" w:rsidR="00465A84" w:rsidRDefault="00465A84" w:rsidP="00465A84">
      <w:pPr>
        <w:pStyle w:val="ListParagraph"/>
        <w:numPr>
          <w:ilvl w:val="0"/>
          <w:numId w:val="39"/>
        </w:numPr>
      </w:pPr>
      <w:r>
        <w:t xml:space="preserve">are First Nations people; </w:t>
      </w:r>
    </w:p>
    <w:p w14:paraId="765919DE" w14:textId="77777777" w:rsidR="00465A84" w:rsidRDefault="00465A84" w:rsidP="00465A84">
      <w:pPr>
        <w:pStyle w:val="ListParagraph"/>
        <w:numPr>
          <w:ilvl w:val="0"/>
          <w:numId w:val="39"/>
        </w:numPr>
      </w:pPr>
      <w:r>
        <w:t>are people who are part of the LGBTQIA+ community;</w:t>
      </w:r>
    </w:p>
    <w:p w14:paraId="534246E5" w14:textId="77777777" w:rsidR="00465A84" w:rsidRDefault="00465A84" w:rsidP="00465A84">
      <w:pPr>
        <w:pStyle w:val="ListParagraph"/>
        <w:numPr>
          <w:ilvl w:val="0"/>
          <w:numId w:val="39"/>
        </w:numPr>
      </w:pPr>
      <w:r>
        <w:t>are migrants and refugees;</w:t>
      </w:r>
    </w:p>
    <w:p w14:paraId="30A692BD" w14:textId="77777777" w:rsidR="00465A84" w:rsidRDefault="00465A84" w:rsidP="00465A84">
      <w:pPr>
        <w:pStyle w:val="ListParagraph"/>
        <w:numPr>
          <w:ilvl w:val="0"/>
          <w:numId w:val="39"/>
        </w:numPr>
      </w:pPr>
      <w:r>
        <w:t>are people of colour;</w:t>
      </w:r>
    </w:p>
    <w:p w14:paraId="01582472" w14:textId="77777777" w:rsidR="00465A84" w:rsidRDefault="00465A84" w:rsidP="00465A84">
      <w:pPr>
        <w:pStyle w:val="ListParagraph"/>
        <w:numPr>
          <w:ilvl w:val="0"/>
          <w:numId w:val="39"/>
        </w:numPr>
      </w:pPr>
      <w:r>
        <w:t xml:space="preserve">are living in regional and remote areas; </w:t>
      </w:r>
    </w:p>
    <w:p w14:paraId="2D7ADD57" w14:textId="77777777" w:rsidR="00465A84" w:rsidRDefault="00465A84" w:rsidP="00465A84">
      <w:pPr>
        <w:pStyle w:val="ListParagraph"/>
        <w:numPr>
          <w:ilvl w:val="0"/>
          <w:numId w:val="39"/>
        </w:numPr>
      </w:pPr>
      <w:r>
        <w:t>are of different ages and life stages, education levels, migration status, and/or socio-economic background;</w:t>
      </w:r>
    </w:p>
    <w:p w14:paraId="5D8A27B9" w14:textId="77777777" w:rsidR="00465A84" w:rsidRDefault="00465A84" w:rsidP="00465A84">
      <w:pPr>
        <w:pStyle w:val="ListParagraph"/>
        <w:numPr>
          <w:ilvl w:val="0"/>
          <w:numId w:val="39"/>
        </w:numPr>
      </w:pPr>
      <w:r>
        <w:t xml:space="preserve">have experience of trauma; as well as </w:t>
      </w:r>
    </w:p>
    <w:p w14:paraId="67B22E40" w14:textId="62E27945" w:rsidR="006A5AA6" w:rsidRPr="005B5E57" w:rsidRDefault="00465A84" w:rsidP="00465A84">
      <w:pPr>
        <w:pStyle w:val="ListParagraph"/>
        <w:numPr>
          <w:ilvl w:val="0"/>
          <w:numId w:val="39"/>
        </w:numPr>
      </w:pPr>
      <w:proofErr w:type="gramStart"/>
      <w:r>
        <w:t>all</w:t>
      </w:r>
      <w:proofErr w:type="gramEnd"/>
      <w:r>
        <w:t xml:space="preserve"> other factors that may impact people’s experience of gender equality or inequality. </w:t>
      </w:r>
    </w:p>
    <w:sectPr w:rsidR="006A5AA6" w:rsidRPr="005B5E57" w:rsidSect="004009A3">
      <w:headerReference w:type="default" r:id="rId18"/>
      <w:footerReference w:type="default" r:id="rId19"/>
      <w:headerReference w:type="first" r:id="rId20"/>
      <w:footerReference w:type="first" r:id="rId21"/>
      <w:pgSz w:w="11906" w:h="16838"/>
      <w:pgMar w:top="1701" w:right="1134" w:bottom="1701" w:left="1134"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EBDAF" w14:textId="77777777" w:rsidR="00DE50DE" w:rsidRDefault="00DE50DE" w:rsidP="00F957C6">
      <w:pPr>
        <w:spacing w:after="0" w:line="240" w:lineRule="auto"/>
      </w:pPr>
      <w:r>
        <w:separator/>
      </w:r>
    </w:p>
  </w:endnote>
  <w:endnote w:type="continuationSeparator" w:id="0">
    <w:p w14:paraId="0A2EB49E" w14:textId="77777777" w:rsidR="00DE50DE" w:rsidRDefault="00DE50DE" w:rsidP="00F957C6">
      <w:pPr>
        <w:spacing w:after="0" w:line="240" w:lineRule="auto"/>
      </w:pPr>
      <w:r>
        <w:continuationSeparator/>
      </w:r>
    </w:p>
  </w:endnote>
  <w:endnote w:type="continuationNotice" w:id="1">
    <w:p w14:paraId="261755D0" w14:textId="77777777" w:rsidR="00DE50DE" w:rsidRDefault="00DE50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FC648" w14:textId="11FBB4BC" w:rsidR="00DB6515" w:rsidRPr="00285CAF" w:rsidRDefault="00DB6515" w:rsidP="00D10635">
    <w:pPr>
      <w:jc w:val="center"/>
    </w:pPr>
  </w:p>
  <w:p w14:paraId="665668DC" w14:textId="1DBE1D35" w:rsidR="00DB6515" w:rsidRPr="008046D4" w:rsidRDefault="00DB6515" w:rsidP="00D10635">
    <w:pPr>
      <w:pStyle w:val="Header"/>
      <w:rPr>
        <w:rFonts w:ascii="Segoe UI" w:hAnsi="Segoe UI" w:cs="Segoe UI"/>
        <w:color w:val="7F7F7F" w:themeColor="text1" w:themeTint="80"/>
        <w:sz w:val="18"/>
      </w:rPr>
    </w:pPr>
    <w:r>
      <w:rPr>
        <w:color w:val="7F7F7F" w:themeColor="text1" w:themeTint="80"/>
        <w:sz w:val="18"/>
        <w:szCs w:val="18"/>
      </w:rPr>
      <w:t xml:space="preserve">PM&amp;C | </w:t>
    </w:r>
    <w:sdt>
      <w:sdtPr>
        <w:rPr>
          <w:color w:val="7F7F7F" w:themeColor="text1" w:themeTint="80"/>
          <w:sz w:val="18"/>
          <w:szCs w:val="18"/>
        </w:rPr>
        <w:alias w:val="Manager"/>
        <w:tag w:val=""/>
        <w:id w:val="-1248491664"/>
        <w:dataBinding w:prefixMappings="xmlns:ns0='http://schemas.openxmlformats.org/officeDocument/2006/extended-properties' " w:xpath="/ns0:Properties[1]/ns0:Manager[1]" w:storeItemID="{6668398D-A668-4E3E-A5EB-62B293D839F1}"/>
        <w:text/>
      </w:sdtPr>
      <w:sdtEndPr/>
      <w:sdtContent>
        <w:r>
          <w:rPr>
            <w:color w:val="7F7F7F" w:themeColor="text1" w:themeTint="80"/>
            <w:sz w:val="18"/>
            <w:szCs w:val="18"/>
          </w:rPr>
          <w:t>Office for Women</w:t>
        </w:r>
      </w:sdtContent>
    </w:sdt>
    <w:r>
      <w:rPr>
        <w:color w:val="7F7F7F" w:themeColor="text1" w:themeTint="80"/>
        <w:sz w:val="18"/>
        <w:szCs w:val="18"/>
      </w:rPr>
      <w:t xml:space="preserve"> | </w:t>
    </w:r>
    <w:sdt>
      <w:sdtPr>
        <w:rPr>
          <w:color w:val="7F7F7F" w:themeColor="text1" w:themeTint="80"/>
          <w:sz w:val="18"/>
          <w:szCs w:val="18"/>
        </w:rPr>
        <w:alias w:val="Title"/>
        <w:tag w:val=""/>
        <w:id w:val="-856421456"/>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Pr>
            <w:color w:val="7F7F7F" w:themeColor="text1" w:themeTint="80"/>
            <w:sz w:val="18"/>
            <w:szCs w:val="18"/>
          </w:rPr>
          <w:t>Seniors</w:t>
        </w:r>
      </w:sdtContent>
    </w:sdt>
    <w:r w:rsidRPr="008046D4">
      <w:rPr>
        <w:rFonts w:ascii="Segoe UI" w:hAnsi="Segoe UI" w:cs="Segoe UI"/>
        <w:sz w:val="18"/>
      </w:rPr>
      <w:ptab w:relativeTo="margin" w:alignment="center" w:leader="none"/>
    </w:r>
    <w:r>
      <w:ptab w:relativeTo="margin" w:alignment="right"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DE4203">
      <w:rPr>
        <w:rFonts w:ascii="Segoe UI" w:hAnsi="Segoe UI" w:cs="Segoe UI"/>
        <w:noProof/>
        <w:color w:val="7F7F7F" w:themeColor="text1" w:themeTint="80"/>
        <w:sz w:val="18"/>
      </w:rPr>
      <w:t>5</w:t>
    </w:r>
    <w:r w:rsidRPr="008046D4">
      <w:rPr>
        <w:rFonts w:ascii="Segoe UI" w:hAnsi="Segoe UI" w:cs="Segoe UI"/>
        <w:noProof/>
        <w:color w:val="7F7F7F" w:themeColor="text1" w:themeTint="8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6D564" w14:textId="4D8F4F7D" w:rsidR="00DB6515" w:rsidRPr="00285CAF" w:rsidRDefault="00DB6515" w:rsidP="002160A7">
    <w:pPr>
      <w:jc w:val="center"/>
    </w:pPr>
  </w:p>
  <w:p w14:paraId="70A5306C" w14:textId="22E49995" w:rsidR="00DB6515" w:rsidRPr="008046D4" w:rsidRDefault="00DB6515" w:rsidP="002160A7">
    <w:pPr>
      <w:pStyle w:val="Header"/>
      <w:rPr>
        <w:rFonts w:ascii="Segoe UI" w:hAnsi="Segoe UI" w:cs="Segoe UI"/>
        <w:color w:val="7F7F7F" w:themeColor="text1" w:themeTint="80"/>
        <w:sz w:val="18"/>
      </w:rPr>
    </w:pPr>
    <w:r>
      <w:rPr>
        <w:color w:val="7F7F7F" w:themeColor="text1" w:themeTint="80"/>
        <w:sz w:val="18"/>
        <w:szCs w:val="18"/>
      </w:rPr>
      <w:t xml:space="preserve">PM&amp;C | Office for Women | </w:t>
    </w:r>
    <w:sdt>
      <w:sdtPr>
        <w:rPr>
          <w:color w:val="7F7F7F" w:themeColor="text1" w:themeTint="80"/>
          <w:sz w:val="18"/>
          <w:szCs w:val="18"/>
        </w:rPr>
        <w:alias w:val="Title"/>
        <w:tag w:val=""/>
        <w:id w:val="177018151"/>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Pr>
            <w:color w:val="7F7F7F" w:themeColor="text1" w:themeTint="80"/>
            <w:sz w:val="18"/>
            <w:szCs w:val="18"/>
          </w:rPr>
          <w:t>Seniors</w:t>
        </w:r>
      </w:sdtContent>
    </w:sdt>
    <w:r w:rsidRPr="008046D4">
      <w:rPr>
        <w:rFonts w:ascii="Segoe UI" w:hAnsi="Segoe UI" w:cs="Segoe UI"/>
        <w:sz w:val="18"/>
      </w:rPr>
      <w:ptab w:relativeTo="margin" w:alignment="center" w:leader="none"/>
    </w:r>
    <w:r>
      <w:ptab w:relativeTo="margin" w:alignment="right"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DE4203">
      <w:rPr>
        <w:rFonts w:ascii="Segoe UI" w:hAnsi="Segoe UI" w:cs="Segoe UI"/>
        <w:noProof/>
        <w:color w:val="7F7F7F" w:themeColor="text1" w:themeTint="80"/>
        <w:sz w:val="18"/>
      </w:rPr>
      <w:t>1</w:t>
    </w:r>
    <w:r w:rsidRPr="008046D4">
      <w:rPr>
        <w:rFonts w:ascii="Segoe UI" w:hAnsi="Segoe UI" w:cs="Segoe UI"/>
        <w:noProof/>
        <w:color w:val="7F7F7F" w:themeColor="text1" w:themeTint="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BA996" w14:textId="77777777" w:rsidR="00DE50DE" w:rsidRDefault="00DE50DE" w:rsidP="00F957C6">
      <w:pPr>
        <w:spacing w:after="0" w:line="240" w:lineRule="auto"/>
      </w:pPr>
      <w:r>
        <w:separator/>
      </w:r>
    </w:p>
  </w:footnote>
  <w:footnote w:type="continuationSeparator" w:id="0">
    <w:p w14:paraId="7984D303" w14:textId="77777777" w:rsidR="00DE50DE" w:rsidRDefault="00DE50DE" w:rsidP="00F957C6">
      <w:pPr>
        <w:spacing w:after="0" w:line="240" w:lineRule="auto"/>
      </w:pPr>
      <w:r>
        <w:continuationSeparator/>
      </w:r>
    </w:p>
  </w:footnote>
  <w:footnote w:type="continuationNotice" w:id="1">
    <w:p w14:paraId="50BC47FF" w14:textId="77777777" w:rsidR="00DE50DE" w:rsidRDefault="00DE50DE">
      <w:pPr>
        <w:spacing w:after="0" w:line="240" w:lineRule="auto"/>
      </w:pPr>
    </w:p>
  </w:footnote>
  <w:footnote w:id="2">
    <w:p w14:paraId="6A35318E" w14:textId="77777777" w:rsidR="00DB6515" w:rsidRPr="006D03E1" w:rsidRDefault="00DB6515" w:rsidP="00304D06">
      <w:pPr>
        <w:pStyle w:val="FootnoteText"/>
        <w:rPr>
          <w:rFonts w:asciiTheme="minorHAnsi" w:hAnsiTheme="minorHAnsi" w:cstheme="minorHAnsi"/>
        </w:rPr>
      </w:pPr>
      <w:r w:rsidRPr="00075C3D">
        <w:rPr>
          <w:rStyle w:val="FootnoteReference"/>
          <w:rFonts w:asciiTheme="minorHAnsi" w:eastAsiaTheme="majorEastAsia" w:hAnsiTheme="minorHAnsi" w:cstheme="minorHAnsi"/>
        </w:rPr>
        <w:footnoteRef/>
      </w:r>
      <w:r w:rsidRPr="00075C3D">
        <w:rPr>
          <w:rFonts w:asciiTheme="minorHAnsi" w:hAnsiTheme="minorHAnsi" w:cstheme="minorHAnsi"/>
        </w:rPr>
        <w:t xml:space="preserve"> </w:t>
      </w:r>
      <w:r w:rsidRPr="006D03E1">
        <w:rPr>
          <w:rFonts w:asciiTheme="minorHAnsi" w:hAnsiTheme="minorHAnsi" w:cstheme="minorHAnsi"/>
        </w:rPr>
        <w:t xml:space="preserve">Australian Tax Office (ATO) (2022) </w:t>
      </w:r>
      <w:r w:rsidRPr="006D03E1">
        <w:rPr>
          <w:rFonts w:asciiTheme="minorHAnsi" w:hAnsiTheme="minorHAnsi" w:cstheme="minorHAnsi"/>
          <w:i/>
        </w:rPr>
        <w:t>‘</w:t>
      </w:r>
      <w:hyperlink r:id="rId1" w:anchor="Chart12Individuals" w:history="1">
        <w:r w:rsidRPr="006D03E1">
          <w:rPr>
            <w:rStyle w:val="Hyperlink"/>
            <w:rFonts w:asciiTheme="minorHAnsi" w:eastAsiaTheme="majorEastAsia" w:hAnsiTheme="minorHAnsi" w:cstheme="minorHAnsi"/>
            <w:i/>
          </w:rPr>
          <w:t>Taxation Statistics 2019-20: Individual Statistics</w:t>
        </w:r>
      </w:hyperlink>
      <w:r w:rsidRPr="006D03E1">
        <w:rPr>
          <w:rFonts w:asciiTheme="minorHAnsi" w:hAnsiTheme="minorHAnsi" w:cstheme="minorHAnsi"/>
        </w:rPr>
        <w:t>’, ATO website, accessed on 25 August 2022.</w:t>
      </w:r>
    </w:p>
  </w:footnote>
  <w:footnote w:id="3">
    <w:p w14:paraId="0E9DF895" w14:textId="12E44A81" w:rsidR="00DB6515" w:rsidRPr="00075C3D" w:rsidRDefault="00DB6515">
      <w:pPr>
        <w:pStyle w:val="FootnoteText"/>
        <w:rPr>
          <w:rFonts w:asciiTheme="minorHAnsi" w:hAnsiTheme="minorHAnsi" w:cstheme="minorHAnsi"/>
        </w:rPr>
      </w:pPr>
      <w:r w:rsidRPr="00075C3D">
        <w:rPr>
          <w:rStyle w:val="FootnoteReference"/>
          <w:rFonts w:asciiTheme="minorHAnsi" w:hAnsiTheme="minorHAnsi" w:cstheme="minorHAnsi"/>
        </w:rPr>
        <w:footnoteRef/>
      </w:r>
      <w:r w:rsidRPr="00075C3D">
        <w:rPr>
          <w:rFonts w:asciiTheme="minorHAnsi" w:hAnsiTheme="minorHAnsi" w:cstheme="minorHAnsi"/>
        </w:rPr>
        <w:t xml:space="preserve"> Dawson E (2022) </w:t>
      </w:r>
      <w:r w:rsidRPr="00075C3D">
        <w:rPr>
          <w:rFonts w:asciiTheme="minorHAnsi" w:hAnsiTheme="minorHAnsi" w:cstheme="minorHAnsi"/>
          <w:i/>
        </w:rPr>
        <w:t>A Home of One’s Own: Philanthropic &amp; social sector solutions for women’s housing</w:t>
      </w:r>
      <w:r w:rsidRPr="00075C3D">
        <w:rPr>
          <w:rFonts w:asciiTheme="minorHAnsi" w:hAnsiTheme="minorHAnsi" w:cstheme="minorHAnsi"/>
        </w:rPr>
        <w:t>, p 16.</w:t>
      </w:r>
    </w:p>
  </w:footnote>
  <w:footnote w:id="4">
    <w:p w14:paraId="15BB104C" w14:textId="4AB01939" w:rsidR="00DB6515" w:rsidRPr="006D03E1" w:rsidRDefault="00DB6515" w:rsidP="00304D06">
      <w:pPr>
        <w:pStyle w:val="FootnoteText"/>
        <w:rPr>
          <w:rFonts w:asciiTheme="minorHAnsi" w:hAnsiTheme="minorHAnsi" w:cstheme="minorHAnsi"/>
        </w:rPr>
      </w:pPr>
      <w:r w:rsidRPr="006D03E1">
        <w:rPr>
          <w:rStyle w:val="FootnoteReference"/>
          <w:rFonts w:asciiTheme="minorHAnsi" w:eastAsiaTheme="majorEastAsia" w:hAnsiTheme="minorHAnsi" w:cstheme="minorHAnsi"/>
        </w:rPr>
        <w:footnoteRef/>
      </w:r>
      <w:r w:rsidRPr="006D03E1">
        <w:rPr>
          <w:rFonts w:asciiTheme="minorHAnsi" w:hAnsiTheme="minorHAnsi" w:cstheme="minorHAnsi"/>
        </w:rPr>
        <w:t xml:space="preserve"> Dawson E (2022), </w:t>
      </w:r>
      <w:r w:rsidRPr="006D03E1">
        <w:rPr>
          <w:rFonts w:asciiTheme="minorHAnsi" w:hAnsiTheme="minorHAnsi" w:cstheme="minorHAnsi"/>
          <w:i/>
        </w:rPr>
        <w:t>A Home of One’s Own: Philanthropic &amp; social sector solutions for women’s housing</w:t>
      </w:r>
      <w:r w:rsidRPr="006D03E1">
        <w:rPr>
          <w:rFonts w:asciiTheme="minorHAnsi" w:hAnsiTheme="minorHAnsi" w:cstheme="minorHAnsi"/>
        </w:rPr>
        <w:t>, p 17.</w:t>
      </w:r>
    </w:p>
  </w:footnote>
  <w:footnote w:id="5">
    <w:p w14:paraId="446CE2D0" w14:textId="77777777" w:rsidR="00DB6515" w:rsidRPr="006D03E1" w:rsidRDefault="00DB6515" w:rsidP="00304D06">
      <w:pPr>
        <w:pStyle w:val="FootnoteText"/>
        <w:rPr>
          <w:rFonts w:asciiTheme="minorHAnsi" w:hAnsiTheme="minorHAnsi" w:cstheme="minorHAnsi"/>
        </w:rPr>
      </w:pPr>
      <w:r w:rsidRPr="006D03E1">
        <w:rPr>
          <w:rStyle w:val="FootnoteReference"/>
          <w:rFonts w:asciiTheme="minorHAnsi" w:eastAsiaTheme="majorEastAsia" w:hAnsiTheme="minorHAnsi" w:cstheme="minorHAnsi"/>
        </w:rPr>
        <w:footnoteRef/>
      </w:r>
      <w:r w:rsidRPr="006D03E1">
        <w:rPr>
          <w:rFonts w:asciiTheme="minorHAnsi" w:hAnsiTheme="minorHAnsi" w:cstheme="minorHAnsi"/>
        </w:rPr>
        <w:t xml:space="preserve"> Australian Institute of Health and Welfare (AIHW) (2021), </w:t>
      </w:r>
      <w:hyperlink r:id="rId2" w:anchor="Homelessness%20and%20insecure%20housing" w:history="1">
        <w:r w:rsidRPr="006D03E1">
          <w:rPr>
            <w:rStyle w:val="Hyperlink"/>
            <w:rFonts w:asciiTheme="minorHAnsi" w:eastAsiaTheme="majorEastAsia" w:hAnsiTheme="minorHAnsi" w:cstheme="minorHAnsi"/>
            <w:i/>
          </w:rPr>
          <w:t>Older Australians: Housing and living arrangements</w:t>
        </w:r>
      </w:hyperlink>
      <w:r w:rsidRPr="006D03E1">
        <w:rPr>
          <w:rFonts w:asciiTheme="minorHAnsi" w:hAnsiTheme="minorHAnsi" w:cstheme="minorHAnsi"/>
        </w:rPr>
        <w:t>, accessed on 27 September 2022.</w:t>
      </w:r>
    </w:p>
  </w:footnote>
  <w:footnote w:id="6">
    <w:p w14:paraId="2046300A" w14:textId="77777777" w:rsidR="00DB6515" w:rsidRPr="006D03E1" w:rsidRDefault="00DB6515" w:rsidP="00304D06">
      <w:pPr>
        <w:pStyle w:val="footnotedescription"/>
        <w:spacing w:line="249" w:lineRule="auto"/>
        <w:ind w:left="0"/>
        <w:rPr>
          <w:rFonts w:asciiTheme="minorHAnsi" w:hAnsiTheme="minorHAnsi" w:cstheme="minorHAnsi"/>
          <w:szCs w:val="20"/>
        </w:rPr>
      </w:pPr>
      <w:r w:rsidRPr="006D03E1">
        <w:rPr>
          <w:rStyle w:val="footnotemark"/>
          <w:rFonts w:asciiTheme="minorHAnsi" w:hAnsiTheme="minorHAnsi" w:cstheme="minorHAnsi"/>
        </w:rPr>
        <w:footnoteRef/>
      </w:r>
      <w:r w:rsidRPr="006D03E1">
        <w:rPr>
          <w:rFonts w:asciiTheme="minorHAnsi" w:hAnsiTheme="minorHAnsi" w:cstheme="minorHAnsi"/>
          <w:szCs w:val="20"/>
        </w:rPr>
        <w:t xml:space="preserve"> AIHW (2022) ‘</w:t>
      </w:r>
      <w:hyperlink r:id="rId3" w:anchor="Aged%20care%20use%20and%20sex," w:history="1">
        <w:r w:rsidRPr="006D03E1">
          <w:rPr>
            <w:rStyle w:val="Hyperlink"/>
            <w:rFonts w:asciiTheme="minorHAnsi" w:hAnsiTheme="minorHAnsi" w:cstheme="minorHAnsi"/>
            <w:i/>
            <w:szCs w:val="20"/>
          </w:rPr>
          <w:t>People Using Aged Care’</w:t>
        </w:r>
      </w:hyperlink>
      <w:r w:rsidRPr="006D03E1">
        <w:rPr>
          <w:rFonts w:asciiTheme="minorHAnsi" w:hAnsiTheme="minorHAnsi" w:cstheme="minorHAnsi"/>
          <w:szCs w:val="20"/>
        </w:rPr>
        <w:t xml:space="preserve">, Gen Aged Care Data as at 30 June 2021, accessed on 27 September 2022. </w:t>
      </w:r>
    </w:p>
  </w:footnote>
  <w:footnote w:id="7">
    <w:p w14:paraId="3FADA761" w14:textId="77777777" w:rsidR="00DB6515" w:rsidRPr="006D03E1" w:rsidRDefault="00DB6515" w:rsidP="00304D06">
      <w:pPr>
        <w:pStyle w:val="FootnoteText"/>
        <w:rPr>
          <w:rFonts w:asciiTheme="minorHAnsi" w:hAnsiTheme="minorHAnsi" w:cstheme="minorHAnsi"/>
        </w:rPr>
      </w:pPr>
      <w:r w:rsidRPr="00075C3D">
        <w:rPr>
          <w:rStyle w:val="FootnoteReference"/>
          <w:rFonts w:asciiTheme="minorHAnsi" w:eastAsiaTheme="majorEastAsia" w:hAnsiTheme="minorHAnsi" w:cstheme="minorHAnsi"/>
        </w:rPr>
        <w:footnoteRef/>
      </w:r>
      <w:r w:rsidRPr="00075C3D">
        <w:rPr>
          <w:rFonts w:asciiTheme="minorHAnsi" w:hAnsiTheme="minorHAnsi" w:cstheme="minorHAnsi"/>
        </w:rPr>
        <w:t xml:space="preserve"> </w:t>
      </w:r>
      <w:r w:rsidRPr="006D03E1">
        <w:rPr>
          <w:rFonts w:asciiTheme="minorHAnsi" w:hAnsiTheme="minorHAnsi" w:cstheme="minorHAnsi"/>
        </w:rPr>
        <w:t xml:space="preserve">Aged Care Quality and Safety Commission (2022) </w:t>
      </w:r>
      <w:r w:rsidRPr="006D03E1">
        <w:rPr>
          <w:rFonts w:asciiTheme="minorHAnsi" w:hAnsiTheme="minorHAnsi" w:cstheme="minorHAnsi"/>
          <w:i/>
        </w:rPr>
        <w:t>Sector performance report April-June 2022,</w:t>
      </w:r>
      <w:r w:rsidRPr="006D03E1">
        <w:rPr>
          <w:rFonts w:asciiTheme="minorHAnsi" w:hAnsiTheme="minorHAnsi" w:cstheme="minorHAnsi"/>
        </w:rPr>
        <w:t xml:space="preserve"> accessed 18 October 2022.</w:t>
      </w:r>
    </w:p>
  </w:footnote>
  <w:footnote w:id="8">
    <w:p w14:paraId="03FB137A" w14:textId="77777777" w:rsidR="00DB6515" w:rsidRPr="006D03E1" w:rsidRDefault="00DB6515" w:rsidP="00304D06">
      <w:pPr>
        <w:pStyle w:val="footnotedescription"/>
        <w:spacing w:after="3"/>
        <w:rPr>
          <w:rFonts w:asciiTheme="minorHAnsi" w:hAnsiTheme="minorHAnsi" w:cstheme="minorHAnsi"/>
          <w:szCs w:val="20"/>
        </w:rPr>
      </w:pPr>
      <w:r w:rsidRPr="006D03E1">
        <w:rPr>
          <w:rStyle w:val="footnotemark"/>
          <w:rFonts w:asciiTheme="minorHAnsi" w:hAnsiTheme="minorHAnsi" w:cstheme="minorHAnsi"/>
        </w:rPr>
        <w:footnoteRef/>
      </w:r>
      <w:r w:rsidRPr="006D03E1">
        <w:rPr>
          <w:rFonts w:asciiTheme="minorHAnsi" w:hAnsiTheme="minorHAnsi" w:cstheme="minorHAnsi"/>
          <w:szCs w:val="20"/>
        </w:rPr>
        <w:t xml:space="preserve"> Department of Health (2018) </w:t>
      </w:r>
      <w:hyperlink r:id="rId4" w:history="1">
        <w:r w:rsidRPr="006D03E1">
          <w:rPr>
            <w:rStyle w:val="Hyperlink"/>
            <w:rFonts w:asciiTheme="minorHAnsi" w:hAnsiTheme="minorHAnsi" w:cstheme="minorHAnsi"/>
            <w:i/>
            <w:szCs w:val="20"/>
          </w:rPr>
          <w:t>National Women’s Health Strategy 2020-2030</w:t>
        </w:r>
      </w:hyperlink>
      <w:r w:rsidRPr="006D03E1">
        <w:rPr>
          <w:rFonts w:asciiTheme="minorHAnsi" w:hAnsiTheme="minorHAnsi" w:cstheme="minorHAnsi"/>
          <w:szCs w:val="20"/>
        </w:rPr>
        <w:t>, Canberra.</w:t>
      </w:r>
    </w:p>
  </w:footnote>
  <w:footnote w:id="9">
    <w:p w14:paraId="7D37E94D" w14:textId="5974EB86" w:rsidR="00DB6515" w:rsidRPr="00075C3D" w:rsidRDefault="00DB6515">
      <w:pPr>
        <w:pStyle w:val="FootnoteText"/>
        <w:rPr>
          <w:rFonts w:asciiTheme="minorHAnsi" w:hAnsiTheme="minorHAnsi" w:cstheme="minorHAnsi"/>
        </w:rPr>
      </w:pPr>
      <w:r w:rsidRPr="00075C3D">
        <w:rPr>
          <w:rStyle w:val="FootnoteReference"/>
          <w:rFonts w:asciiTheme="minorHAnsi" w:hAnsiTheme="minorHAnsi" w:cstheme="minorHAnsi"/>
        </w:rPr>
        <w:footnoteRef/>
      </w:r>
      <w:r w:rsidRPr="00075C3D">
        <w:rPr>
          <w:rFonts w:asciiTheme="minorHAnsi" w:hAnsiTheme="minorHAnsi" w:cstheme="minorHAnsi"/>
        </w:rPr>
        <w:t xml:space="preserve"> </w:t>
      </w:r>
      <w:r w:rsidRPr="006D03E1">
        <w:rPr>
          <w:rFonts w:asciiTheme="minorHAnsi" w:hAnsiTheme="minorHAnsi" w:cstheme="minorHAnsi"/>
        </w:rPr>
        <w:t>Australian Human Rights Commission</w:t>
      </w:r>
      <w:r w:rsidRPr="00075C3D">
        <w:rPr>
          <w:rFonts w:asciiTheme="minorHAnsi" w:hAnsiTheme="minorHAnsi" w:cstheme="minorHAnsi"/>
        </w:rPr>
        <w:t xml:space="preserve"> </w:t>
      </w:r>
      <w:r w:rsidRPr="006D03E1">
        <w:rPr>
          <w:rFonts w:asciiTheme="minorHAnsi" w:hAnsiTheme="minorHAnsi" w:cstheme="minorHAnsi"/>
        </w:rPr>
        <w:t xml:space="preserve">(AHRC) </w:t>
      </w:r>
      <w:r w:rsidRPr="00075C3D">
        <w:rPr>
          <w:rFonts w:asciiTheme="minorHAnsi" w:hAnsiTheme="minorHAnsi" w:cstheme="minorHAnsi"/>
        </w:rPr>
        <w:t xml:space="preserve">(2022) </w:t>
      </w:r>
      <w:hyperlink r:id="rId5" w:history="1">
        <w:r w:rsidRPr="00075C3D">
          <w:rPr>
            <w:rStyle w:val="Hyperlink"/>
            <w:rFonts w:asciiTheme="minorHAnsi" w:hAnsiTheme="minorHAnsi" w:cstheme="minorHAnsi"/>
          </w:rPr>
          <w:t>Willing to Work</w:t>
        </w:r>
      </w:hyperlink>
      <w:r w:rsidRPr="00075C3D">
        <w:rPr>
          <w:rFonts w:asciiTheme="minorHAnsi" w:hAnsiTheme="minorHAnsi" w:cstheme="minorHAnsi"/>
        </w:rPr>
        <w:t>, p 58.</w:t>
      </w:r>
    </w:p>
  </w:footnote>
  <w:footnote w:id="10">
    <w:p w14:paraId="1908CE66" w14:textId="75BA76D2" w:rsidR="005452D6" w:rsidRPr="006D03E1" w:rsidRDefault="005452D6">
      <w:pPr>
        <w:pStyle w:val="FootnoteText"/>
        <w:rPr>
          <w:rFonts w:asciiTheme="minorHAnsi" w:hAnsiTheme="minorHAnsi" w:cstheme="minorHAnsi"/>
        </w:rPr>
      </w:pPr>
      <w:r w:rsidRPr="006D03E1">
        <w:rPr>
          <w:rStyle w:val="FootnoteReference"/>
          <w:rFonts w:asciiTheme="minorHAnsi" w:hAnsiTheme="minorHAnsi" w:cstheme="minorHAnsi"/>
        </w:rPr>
        <w:footnoteRef/>
      </w:r>
      <w:r w:rsidRPr="006D03E1">
        <w:rPr>
          <w:rFonts w:asciiTheme="minorHAnsi" w:hAnsiTheme="minorHAnsi" w:cstheme="minorHAnsi"/>
        </w:rPr>
        <w:t xml:space="preserve"> Australian Human Rights Commission</w:t>
      </w:r>
      <w:r w:rsidRPr="00075C3D">
        <w:rPr>
          <w:rFonts w:asciiTheme="minorHAnsi" w:hAnsiTheme="minorHAnsi" w:cstheme="minorHAnsi"/>
        </w:rPr>
        <w:t xml:space="preserve"> </w:t>
      </w:r>
      <w:r w:rsidRPr="006D03E1">
        <w:rPr>
          <w:rFonts w:asciiTheme="minorHAnsi" w:hAnsiTheme="minorHAnsi" w:cstheme="minorHAnsi"/>
        </w:rPr>
        <w:t xml:space="preserve">(AHRC) </w:t>
      </w:r>
      <w:r w:rsidRPr="00075C3D">
        <w:rPr>
          <w:rFonts w:asciiTheme="minorHAnsi" w:hAnsiTheme="minorHAnsi" w:cstheme="minorHAnsi"/>
        </w:rPr>
        <w:t xml:space="preserve">(2022) </w:t>
      </w:r>
      <w:hyperlink r:id="rId6" w:history="1">
        <w:r w:rsidRPr="00075C3D">
          <w:rPr>
            <w:rStyle w:val="Hyperlink"/>
            <w:rFonts w:asciiTheme="minorHAnsi" w:hAnsiTheme="minorHAnsi" w:cstheme="minorHAnsi"/>
          </w:rPr>
          <w:t>Willing to Work</w:t>
        </w:r>
      </w:hyperlink>
      <w:r w:rsidRPr="00075C3D">
        <w:rPr>
          <w:rFonts w:asciiTheme="minorHAnsi" w:hAnsiTheme="minorHAnsi" w:cstheme="minorHAnsi"/>
        </w:rPr>
        <w:t xml:space="preserve">, p </w:t>
      </w:r>
      <w:r w:rsidR="005E6411" w:rsidRPr="006D03E1">
        <w:rPr>
          <w:rFonts w:asciiTheme="minorHAnsi" w:hAnsiTheme="minorHAnsi" w:cstheme="minorHAnsi"/>
        </w:rPr>
        <w:t>71</w:t>
      </w:r>
      <w:r w:rsidRPr="00075C3D">
        <w:rPr>
          <w:rFonts w:asciiTheme="minorHAnsi" w:hAnsiTheme="minorHAnsi" w:cstheme="minorHAnsi"/>
        </w:rPr>
        <w:t>.</w:t>
      </w:r>
    </w:p>
  </w:footnote>
  <w:footnote w:id="11">
    <w:p w14:paraId="596DC0A4" w14:textId="77777777" w:rsidR="00D162D0" w:rsidRPr="006D03E1" w:rsidRDefault="00D162D0" w:rsidP="00D162D0">
      <w:pPr>
        <w:pStyle w:val="FootnoteText"/>
        <w:rPr>
          <w:rFonts w:asciiTheme="minorHAnsi" w:hAnsiTheme="minorHAnsi" w:cstheme="minorHAnsi"/>
        </w:rPr>
      </w:pPr>
      <w:r w:rsidRPr="006D03E1">
        <w:rPr>
          <w:rStyle w:val="FootnoteReference"/>
          <w:rFonts w:asciiTheme="minorHAnsi" w:hAnsiTheme="minorHAnsi" w:cstheme="minorHAnsi"/>
        </w:rPr>
        <w:footnoteRef/>
      </w:r>
      <w:r w:rsidRPr="006D03E1">
        <w:rPr>
          <w:rFonts w:asciiTheme="minorHAnsi" w:hAnsiTheme="minorHAnsi" w:cstheme="minorHAnsi"/>
        </w:rPr>
        <w:t xml:space="preserve"> </w:t>
      </w:r>
      <w:proofErr w:type="spellStart"/>
      <w:r w:rsidRPr="006D03E1">
        <w:rPr>
          <w:rFonts w:asciiTheme="minorHAnsi" w:hAnsiTheme="minorHAnsi" w:cstheme="minorHAnsi"/>
        </w:rPr>
        <w:t>Riach</w:t>
      </w:r>
      <w:proofErr w:type="spellEnd"/>
      <w:r w:rsidRPr="006D03E1">
        <w:rPr>
          <w:rFonts w:asciiTheme="minorHAnsi" w:hAnsiTheme="minorHAnsi" w:cstheme="minorHAnsi"/>
        </w:rPr>
        <w:t xml:space="preserve">, K. (2021) </w:t>
      </w:r>
      <w:hyperlink r:id="rId7" w:history="1">
        <w:r w:rsidRPr="006D03E1">
          <w:rPr>
            <w:rStyle w:val="Hyperlink"/>
            <w:rFonts w:asciiTheme="minorHAnsi" w:hAnsiTheme="minorHAnsi" w:cstheme="minorHAnsi"/>
            <w:i/>
          </w:rPr>
          <w:t>Women’s Health in/and Work: Menopause as an Intersectional Experience</w:t>
        </w:r>
      </w:hyperlink>
      <w:r w:rsidRPr="006D03E1">
        <w:rPr>
          <w:rFonts w:asciiTheme="minorHAnsi" w:hAnsiTheme="minorHAnsi" w:cstheme="minorHAnsi"/>
        </w:rPr>
        <w:t>, International Journal of Environmental Research and Public Health, p 6.</w:t>
      </w:r>
    </w:p>
  </w:footnote>
  <w:footnote w:id="12">
    <w:p w14:paraId="1ACE533C" w14:textId="310D3E46" w:rsidR="006D03E1" w:rsidRPr="006D03E1" w:rsidRDefault="006D03E1">
      <w:pPr>
        <w:pStyle w:val="FootnoteText"/>
        <w:rPr>
          <w:rFonts w:asciiTheme="minorHAnsi" w:hAnsiTheme="minorHAnsi" w:cstheme="minorHAnsi"/>
          <w:lang w:val="en-US"/>
        </w:rPr>
      </w:pPr>
      <w:r w:rsidRPr="006D03E1">
        <w:rPr>
          <w:rStyle w:val="FootnoteReference"/>
          <w:rFonts w:asciiTheme="minorHAnsi" w:hAnsiTheme="minorHAnsi" w:cstheme="minorHAnsi"/>
        </w:rPr>
        <w:footnoteRef/>
      </w:r>
      <w:r w:rsidRPr="006D03E1">
        <w:rPr>
          <w:rFonts w:asciiTheme="minorHAnsi" w:hAnsiTheme="minorHAnsi" w:cstheme="minorHAnsi"/>
        </w:rPr>
        <w:t xml:space="preserve"> </w:t>
      </w:r>
      <w:r w:rsidRPr="006D03E1">
        <w:rPr>
          <w:rFonts w:asciiTheme="minorHAnsi" w:hAnsiTheme="minorHAnsi" w:cstheme="minorHAnsi"/>
          <w:lang w:val="en-US"/>
        </w:rPr>
        <w:t xml:space="preserve">Carter, S., Davis, S., and Black, K. (2021) </w:t>
      </w:r>
      <w:r w:rsidRPr="006D03E1">
        <w:rPr>
          <w:rFonts w:asciiTheme="minorHAnsi" w:hAnsiTheme="minorHAnsi" w:cstheme="minorHAnsi"/>
          <w:i/>
          <w:lang w:val="en-US"/>
        </w:rPr>
        <w:t>Menopause workplace policy: The way forward or backward?</w:t>
      </w:r>
      <w:r w:rsidRPr="006D03E1">
        <w:rPr>
          <w:rFonts w:asciiTheme="minorHAnsi" w:hAnsiTheme="minorHAnsi" w:cstheme="minorHAnsi"/>
          <w:lang w:val="en-US"/>
        </w:rPr>
        <w:t xml:space="preserve"> Australian and New Zealand Journal of Obstetrics and </w:t>
      </w:r>
      <w:proofErr w:type="spellStart"/>
      <w:r w:rsidRPr="006D03E1">
        <w:rPr>
          <w:rFonts w:asciiTheme="minorHAnsi" w:hAnsiTheme="minorHAnsi" w:cstheme="minorHAnsi"/>
          <w:lang w:val="en-US"/>
        </w:rPr>
        <w:t>Gynaecology</w:t>
      </w:r>
      <w:proofErr w:type="spellEnd"/>
      <w:r w:rsidRPr="006D03E1">
        <w:rPr>
          <w:rFonts w:asciiTheme="minorHAnsi" w:hAnsiTheme="minorHAnsi" w:cstheme="minorHAnsi"/>
          <w:lang w:val="en-US"/>
        </w:rPr>
        <w:t>, 61(6), 986-989.</w:t>
      </w:r>
    </w:p>
  </w:footnote>
  <w:footnote w:id="13">
    <w:p w14:paraId="3A9A5CD1" w14:textId="3DCC46E3" w:rsidR="00A04916" w:rsidRPr="006D03E1" w:rsidRDefault="00A04916">
      <w:pPr>
        <w:pStyle w:val="FootnoteText"/>
        <w:rPr>
          <w:rFonts w:asciiTheme="minorHAnsi" w:hAnsiTheme="minorHAnsi" w:cstheme="minorHAnsi"/>
          <w:lang w:val="en-US"/>
        </w:rPr>
      </w:pPr>
      <w:r w:rsidRPr="006D03E1">
        <w:rPr>
          <w:rStyle w:val="FootnoteReference"/>
          <w:rFonts w:asciiTheme="minorHAnsi" w:hAnsiTheme="minorHAnsi" w:cstheme="minorHAnsi"/>
        </w:rPr>
        <w:footnoteRef/>
      </w:r>
      <w:r w:rsidRPr="006D03E1">
        <w:rPr>
          <w:rFonts w:asciiTheme="minorHAnsi" w:hAnsiTheme="minorHAnsi" w:cstheme="minorHAnsi"/>
        </w:rPr>
        <w:t xml:space="preserve"> </w:t>
      </w:r>
      <w:proofErr w:type="spellStart"/>
      <w:r w:rsidRPr="006D03E1">
        <w:rPr>
          <w:rFonts w:asciiTheme="minorHAnsi" w:hAnsiTheme="minorHAnsi" w:cstheme="minorHAnsi"/>
          <w:lang w:val="en-US"/>
        </w:rPr>
        <w:t>Tually</w:t>
      </w:r>
      <w:proofErr w:type="spellEnd"/>
      <w:r w:rsidRPr="006D03E1">
        <w:rPr>
          <w:rFonts w:asciiTheme="minorHAnsi" w:hAnsiTheme="minorHAnsi" w:cstheme="minorHAnsi"/>
          <w:lang w:val="en-US"/>
        </w:rPr>
        <w:t xml:space="preserve">, S. et al (2022), </w:t>
      </w:r>
      <w:hyperlink r:id="rId8" w:history="1">
        <w:r w:rsidRPr="006D03E1">
          <w:rPr>
            <w:rStyle w:val="Hyperlink"/>
            <w:rFonts w:asciiTheme="minorHAnsi" w:hAnsiTheme="minorHAnsi" w:cstheme="minorHAnsi"/>
            <w:i/>
            <w:lang w:val="en-US"/>
          </w:rPr>
          <w:t>Alternative housing models for precariously housed older Australians</w:t>
        </w:r>
      </w:hyperlink>
      <w:r w:rsidRPr="006D03E1">
        <w:rPr>
          <w:rFonts w:asciiTheme="minorHAnsi" w:hAnsiTheme="minorHAnsi" w:cstheme="minorHAnsi"/>
          <w:lang w:val="en-US"/>
        </w:rPr>
        <w:t>, Australian Housing and Urban Research Institute, p 1.</w:t>
      </w:r>
    </w:p>
  </w:footnote>
  <w:footnote w:id="14">
    <w:p w14:paraId="5141F8B5" w14:textId="3031901E" w:rsidR="00A04916" w:rsidRPr="006D03E1" w:rsidRDefault="00A04916">
      <w:pPr>
        <w:pStyle w:val="FootnoteText"/>
        <w:rPr>
          <w:rFonts w:asciiTheme="minorHAnsi" w:hAnsiTheme="minorHAnsi" w:cstheme="minorHAnsi"/>
          <w:lang w:val="en-US"/>
        </w:rPr>
      </w:pPr>
      <w:r w:rsidRPr="006D03E1">
        <w:rPr>
          <w:rStyle w:val="FootnoteReference"/>
          <w:rFonts w:asciiTheme="minorHAnsi" w:hAnsiTheme="minorHAnsi" w:cstheme="minorHAnsi"/>
        </w:rPr>
        <w:footnoteRef/>
      </w:r>
      <w:r w:rsidRPr="006D03E1">
        <w:rPr>
          <w:rFonts w:asciiTheme="minorHAnsi" w:hAnsiTheme="minorHAnsi" w:cstheme="minorHAnsi"/>
        </w:rPr>
        <w:t xml:space="preserve"> </w:t>
      </w:r>
      <w:r w:rsidRPr="006D03E1">
        <w:rPr>
          <w:rFonts w:asciiTheme="minorHAnsi" w:hAnsiTheme="minorHAnsi" w:cstheme="minorHAnsi"/>
          <w:lang w:val="en-US"/>
        </w:rPr>
        <w:t xml:space="preserve">Dawson, E. (2022), </w:t>
      </w:r>
      <w:hyperlink r:id="rId9" w:history="1">
        <w:r w:rsidRPr="006D03E1">
          <w:rPr>
            <w:rStyle w:val="Hyperlink"/>
            <w:rFonts w:asciiTheme="minorHAnsi" w:hAnsiTheme="minorHAnsi" w:cstheme="minorHAnsi"/>
            <w:i/>
            <w:lang w:val="en-US"/>
          </w:rPr>
          <w:t>A Home of One’s Own: Philanthropic &amp; social sector solutions for women’s housing</w:t>
        </w:r>
      </w:hyperlink>
      <w:r w:rsidRPr="006D03E1">
        <w:rPr>
          <w:rFonts w:asciiTheme="minorHAnsi" w:hAnsiTheme="minorHAnsi" w:cstheme="minorHAnsi"/>
          <w:lang w:val="en-US"/>
        </w:rPr>
        <w:t>, Per Capita, p 17.</w:t>
      </w:r>
    </w:p>
  </w:footnote>
  <w:footnote w:id="15">
    <w:p w14:paraId="7840ED4A" w14:textId="77777777" w:rsidR="00DB6515" w:rsidRPr="00075C3D" w:rsidRDefault="00DB6515" w:rsidP="00304D06">
      <w:pPr>
        <w:pStyle w:val="FootnoteText"/>
        <w:rPr>
          <w:rFonts w:asciiTheme="minorHAnsi" w:hAnsiTheme="minorHAnsi" w:cstheme="minorHAnsi"/>
        </w:rPr>
      </w:pPr>
      <w:r w:rsidRPr="006D03E1">
        <w:rPr>
          <w:rStyle w:val="FootnoteReference"/>
          <w:rFonts w:asciiTheme="minorHAnsi" w:eastAsiaTheme="majorEastAsia" w:hAnsiTheme="minorHAnsi" w:cstheme="minorHAnsi"/>
        </w:rPr>
        <w:footnoteRef/>
      </w:r>
      <w:r w:rsidRPr="006D03E1">
        <w:rPr>
          <w:rFonts w:asciiTheme="minorHAnsi" w:hAnsiTheme="minorHAnsi" w:cstheme="minorHAnsi"/>
        </w:rPr>
        <w:t xml:space="preserve"> Wood D, Griffiths K and </w:t>
      </w:r>
      <w:proofErr w:type="spellStart"/>
      <w:r w:rsidRPr="006D03E1">
        <w:rPr>
          <w:rFonts w:asciiTheme="minorHAnsi" w:hAnsiTheme="minorHAnsi" w:cstheme="minorHAnsi"/>
        </w:rPr>
        <w:t>Emslie</w:t>
      </w:r>
      <w:proofErr w:type="spellEnd"/>
      <w:r w:rsidRPr="006D03E1">
        <w:rPr>
          <w:rFonts w:asciiTheme="minorHAnsi" w:hAnsiTheme="minorHAnsi" w:cstheme="minorHAnsi"/>
        </w:rPr>
        <w:t xml:space="preserve"> O (2020) </w:t>
      </w:r>
      <w:proofErr w:type="gramStart"/>
      <w:r w:rsidRPr="006D03E1">
        <w:rPr>
          <w:rFonts w:asciiTheme="minorHAnsi" w:hAnsiTheme="minorHAnsi" w:cstheme="minorHAnsi"/>
          <w:i/>
        </w:rPr>
        <w:t>Cheaper</w:t>
      </w:r>
      <w:proofErr w:type="gramEnd"/>
      <w:r w:rsidRPr="006D03E1">
        <w:rPr>
          <w:rFonts w:asciiTheme="minorHAnsi" w:hAnsiTheme="minorHAnsi" w:cstheme="minorHAnsi"/>
          <w:i/>
        </w:rPr>
        <w:t xml:space="preserve"> childcare: A practical plan to boost female workforce participation</w:t>
      </w:r>
      <w:r w:rsidRPr="006D03E1">
        <w:rPr>
          <w:rFonts w:asciiTheme="minorHAnsi" w:hAnsiTheme="minorHAnsi" w:cstheme="minorHAnsi"/>
        </w:rPr>
        <w:t>, Grattan Institute, p 16-18.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EACCC" w14:textId="577BDA4A" w:rsidR="00DB6515" w:rsidRPr="00D10635" w:rsidRDefault="00DB6515" w:rsidP="002160A7">
    <w:pPr>
      <w:jc w:val="center"/>
    </w:pPr>
    <w:r w:rsidRPr="002160A7">
      <w:rPr>
        <w:rStyle w:val="CLASSIFICATIONChar"/>
        <w:noProof/>
        <w:lang w:eastAsia="en-AU"/>
      </w:rPr>
      <mc:AlternateContent>
        <mc:Choice Requires="wps">
          <w:drawing>
            <wp:anchor distT="0" distB="0" distL="114300" distR="114300" simplePos="0" relativeHeight="251658241" behindDoc="1" locked="0" layoutInCell="1" allowOverlap="1" wp14:anchorId="701DB530" wp14:editId="3EBCEEBE">
              <wp:simplePos x="0" y="0"/>
              <wp:positionH relativeFrom="column">
                <wp:posOffset>6221730</wp:posOffset>
              </wp:positionH>
              <wp:positionV relativeFrom="page">
                <wp:posOffset>691515</wp:posOffset>
              </wp:positionV>
              <wp:extent cx="608400"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D723AF" id="Straight Connector 3" o:spid="_x0000_s1026" style="position:absolute;z-index:-251658239;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" strokecolor="black [3200]" strokeweight=".5pt">
              <v:stroke joinstyle="miter"/>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65B1E" w14:textId="77777777" w:rsidR="00DB6515" w:rsidRDefault="00DB6515" w:rsidP="00303C55">
    <w:pPr>
      <w:pStyle w:val="Header"/>
      <w:jc w:val="center"/>
      <w:rPr>
        <w:rStyle w:val="CLASSIFICATIONChar"/>
      </w:rPr>
    </w:pPr>
    <w:r>
      <w:rPr>
        <w:rFonts w:ascii="Segoe UI" w:hAnsi="Segoe UI"/>
        <w:caps/>
        <w:noProof/>
        <w:color w:val="C00000"/>
        <w:sz w:val="18"/>
        <w:lang w:eastAsia="en-AU"/>
      </w:rPr>
      <w:drawing>
        <wp:anchor distT="0" distB="0" distL="114300" distR="114300" simplePos="0" relativeHeight="251658240" behindDoc="1" locked="0" layoutInCell="1" allowOverlap="1" wp14:anchorId="711FD60C" wp14:editId="6D638131">
          <wp:simplePos x="0" y="0"/>
          <wp:positionH relativeFrom="column">
            <wp:posOffset>4751640</wp:posOffset>
          </wp:positionH>
          <wp:positionV relativeFrom="paragraph">
            <wp:posOffset>-493639</wp:posOffset>
          </wp:positionV>
          <wp:extent cx="1473795" cy="1789544"/>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M&amp;C Template Acronym.jpg"/>
                  <pic:cNvPicPr/>
                </pic:nvPicPr>
                <pic:blipFill>
                  <a:blip r:embed="rId1">
                    <a:extLst>
                      <a:ext uri="{28A0092B-C50C-407E-A947-70E740481C1C}">
                        <a14:useLocalDpi xmlns:a14="http://schemas.microsoft.com/office/drawing/2010/main" val="0"/>
                      </a:ext>
                    </a:extLst>
                  </a:blip>
                  <a:stretch>
                    <a:fillRect/>
                  </a:stretch>
                </pic:blipFill>
                <pic:spPr>
                  <a:xfrm>
                    <a:off x="0" y="0"/>
                    <a:ext cx="1473795" cy="1789544"/>
                  </a:xfrm>
                  <a:prstGeom prst="rect">
                    <a:avLst/>
                  </a:prstGeom>
                </pic:spPr>
              </pic:pic>
            </a:graphicData>
          </a:graphic>
          <wp14:sizeRelH relativeFrom="margin">
            <wp14:pctWidth>0</wp14:pctWidth>
          </wp14:sizeRelH>
          <wp14:sizeRelV relativeFrom="margin">
            <wp14:pctHeight>0</wp14:pctHeight>
          </wp14:sizeRelV>
        </wp:anchor>
      </w:drawing>
    </w:r>
    <w:r w:rsidRPr="002160A7">
      <w:rPr>
        <w:noProof/>
        <w:lang w:eastAsia="en-AU"/>
      </w:rPr>
      <mc:AlternateContent>
        <mc:Choice Requires="wps">
          <w:drawing>
            <wp:anchor distT="0" distB="0" distL="114300" distR="114300" simplePos="0" relativeHeight="251658243" behindDoc="1" locked="0" layoutInCell="1" allowOverlap="1" wp14:anchorId="1D60384D" wp14:editId="0F5CB36C">
              <wp:simplePos x="0" y="0"/>
              <wp:positionH relativeFrom="column">
                <wp:posOffset>6221730</wp:posOffset>
              </wp:positionH>
              <wp:positionV relativeFrom="page">
                <wp:posOffset>691515</wp:posOffset>
              </wp:positionV>
              <wp:extent cx="608400" cy="0"/>
              <wp:effectExtent l="0" t="0" r="20320" b="19050"/>
              <wp:wrapNone/>
              <wp:docPr id="192" name="Straight Connector 192"/>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0C2E6A" id="Straight Connector 192" o:spid="_x0000_s1026" style="position:absolute;z-index:-251658237;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" strokecolor="black [3200]" strokeweight=".5pt">
              <v:stroke joinstyle="miter"/>
              <w10:wrap anchory="page"/>
            </v:line>
          </w:pict>
        </mc:Fallback>
      </mc:AlternateContent>
    </w:r>
    <w:r w:rsidRPr="002160A7">
      <w:rPr>
        <w:noProof/>
        <w:lang w:eastAsia="en-AU"/>
      </w:rPr>
      <w:drawing>
        <wp:anchor distT="0" distB="0" distL="114300" distR="114300" simplePos="0" relativeHeight="251658242" behindDoc="1" locked="0" layoutInCell="1" allowOverlap="1" wp14:anchorId="725BFAB7" wp14:editId="4DAE3F6E">
          <wp:simplePos x="0" y="0"/>
          <wp:positionH relativeFrom="column">
            <wp:posOffset>-313055</wp:posOffset>
          </wp:positionH>
          <wp:positionV relativeFrom="page">
            <wp:posOffset>183515</wp:posOffset>
          </wp:positionV>
          <wp:extent cx="3600000" cy="806400"/>
          <wp:effectExtent l="0" t="0" r="0" b="0"/>
          <wp:wrapNone/>
          <wp:docPr id="11" name="Picture 11" title="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2">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724E43" w14:textId="77777777" w:rsidR="00DB6515" w:rsidRDefault="00DB6515" w:rsidP="00303C55">
    <w:pPr>
      <w:pStyle w:val="Header"/>
      <w:jc w:val="center"/>
      <w:rPr>
        <w:rStyle w:val="CLASSIFICATIONChar"/>
      </w:rPr>
    </w:pPr>
  </w:p>
  <w:p w14:paraId="72313B4D" w14:textId="77777777" w:rsidR="00DB6515" w:rsidRDefault="00DB6515" w:rsidP="00303C55">
    <w:pPr>
      <w:pStyle w:val="Header"/>
      <w:jc w:val="center"/>
      <w:rPr>
        <w:rStyle w:val="CLASSIFICATIONChar"/>
      </w:rPr>
    </w:pPr>
  </w:p>
  <w:p w14:paraId="65BCE671" w14:textId="77777777" w:rsidR="00DB6515" w:rsidRDefault="00DB6515" w:rsidP="00303C55">
    <w:pPr>
      <w:pStyle w:val="Header"/>
      <w:jc w:val="center"/>
      <w:rPr>
        <w:rStyle w:val="CLASSIFICATIONChar"/>
      </w:rPr>
    </w:pPr>
  </w:p>
  <w:p w14:paraId="1AE1656E" w14:textId="1A387D05" w:rsidR="00DB6515" w:rsidRDefault="00DB6515" w:rsidP="002160A7">
    <w:pPr>
      <w:pStyle w:val="CLASSIFICATION"/>
    </w:pPr>
  </w:p>
  <w:p w14:paraId="53FCE169" w14:textId="77777777" w:rsidR="00DB6515" w:rsidRPr="002160A7" w:rsidRDefault="00DB6515" w:rsidP="002160A7">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F1F43"/>
    <w:multiLevelType w:val="hybridMultilevel"/>
    <w:tmpl w:val="F1A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AB75033"/>
    <w:multiLevelType w:val="hybridMultilevel"/>
    <w:tmpl w:val="51ACA69A"/>
    <w:lvl w:ilvl="0" w:tplc="080C07C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014CCD"/>
    <w:multiLevelType w:val="hybridMultilevel"/>
    <w:tmpl w:val="72DE1CAA"/>
    <w:lvl w:ilvl="0" w:tplc="1CB0EE9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AF6F03"/>
    <w:multiLevelType w:val="hybridMultilevel"/>
    <w:tmpl w:val="F542A2B0"/>
    <w:lvl w:ilvl="0" w:tplc="FA4E2F1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5" w15:restartNumberingAfterBreak="0">
    <w:nsid w:val="18436EB6"/>
    <w:multiLevelType w:val="hybridMultilevel"/>
    <w:tmpl w:val="EFCCE6A4"/>
    <w:lvl w:ilvl="0" w:tplc="A0AA1B8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9F33BBA"/>
    <w:multiLevelType w:val="hybridMultilevel"/>
    <w:tmpl w:val="C6B214D4"/>
    <w:lvl w:ilvl="0" w:tplc="8460E7C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C94AC2"/>
    <w:multiLevelType w:val="hybridMultilevel"/>
    <w:tmpl w:val="4AF274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507AC4"/>
    <w:multiLevelType w:val="hybridMultilevel"/>
    <w:tmpl w:val="864231E2"/>
    <w:lvl w:ilvl="0" w:tplc="8764996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27854A54"/>
    <w:multiLevelType w:val="hybridMultilevel"/>
    <w:tmpl w:val="94DC3E6A"/>
    <w:lvl w:ilvl="0" w:tplc="177076E2">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0" w15:restartNumberingAfterBreak="0">
    <w:nsid w:val="2DC5083A"/>
    <w:multiLevelType w:val="hybridMultilevel"/>
    <w:tmpl w:val="D6FC0D7A"/>
    <w:lvl w:ilvl="0" w:tplc="0C090001">
      <w:start w:val="1"/>
      <w:numFmt w:val="bullet"/>
      <w:lvlText w:val=""/>
      <w:lvlJc w:val="left"/>
      <w:pPr>
        <w:tabs>
          <w:tab w:val="num" w:pos="720"/>
        </w:tabs>
        <w:ind w:left="720" w:hanging="360"/>
      </w:pPr>
      <w:rPr>
        <w:rFonts w:ascii="Symbol" w:hAnsi="Symbol" w:hint="default"/>
      </w:rPr>
    </w:lvl>
    <w:lvl w:ilvl="1" w:tplc="477CEA5C">
      <w:start w:val="1"/>
      <w:numFmt w:val="bullet"/>
      <w:lvlText w:val=""/>
      <w:lvlJc w:val="left"/>
      <w:pPr>
        <w:tabs>
          <w:tab w:val="num" w:pos="1440"/>
        </w:tabs>
        <w:ind w:left="1440" w:hanging="360"/>
      </w:pPr>
      <w:rPr>
        <w:rFonts w:ascii="Symbol" w:hAnsi="Symbol" w:hint="default"/>
        <w:color w:val="auto"/>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B22B27"/>
    <w:multiLevelType w:val="hybridMultilevel"/>
    <w:tmpl w:val="62606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6C7FF6"/>
    <w:multiLevelType w:val="hybridMultilevel"/>
    <w:tmpl w:val="2DC077C0"/>
    <w:lvl w:ilvl="0" w:tplc="6F428F6E">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3"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3C7E9D"/>
    <w:multiLevelType w:val="hybridMultilevel"/>
    <w:tmpl w:val="CC10FCDC"/>
    <w:lvl w:ilvl="0" w:tplc="72DE269E">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EE51B32"/>
    <w:multiLevelType w:val="hybridMultilevel"/>
    <w:tmpl w:val="915C1D12"/>
    <w:lvl w:ilvl="0" w:tplc="9CF4C534">
      <w:start w:val="1"/>
      <w:numFmt w:val="decimal"/>
      <w:pStyle w:val="TB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1170D5"/>
    <w:multiLevelType w:val="hybridMultilevel"/>
    <w:tmpl w:val="3622095C"/>
    <w:lvl w:ilvl="0" w:tplc="07186822">
      <w:start w:val="1"/>
      <w:numFmt w:val="decimal"/>
      <w:pStyle w:val="NumberedList-Level1"/>
      <w:lvlText w:val="%1."/>
      <w:lvlJc w:val="left"/>
      <w:pPr>
        <w:ind w:left="567" w:hanging="283"/>
      </w:pPr>
      <w:rPr>
        <w:rFonts w:hint="default"/>
      </w:rPr>
    </w:lvl>
    <w:lvl w:ilvl="1" w:tplc="931294C8">
      <w:start w:val="1"/>
      <w:numFmt w:val="lowerLetter"/>
      <w:pStyle w:val="NumberedList-level2"/>
      <w:lvlText w:val="%2."/>
      <w:lvlJc w:val="left"/>
      <w:pPr>
        <w:ind w:left="851" w:hanging="284"/>
      </w:pPr>
      <w:rPr>
        <w:rFonts w:hint="default"/>
      </w:rPr>
    </w:lvl>
    <w:lvl w:ilvl="2" w:tplc="5508A634">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26"/>
  </w:num>
  <w:num w:numId="14">
    <w:abstractNumId w:val="19"/>
  </w:num>
  <w:num w:numId="15">
    <w:abstractNumId w:val="19"/>
    <w:lvlOverride w:ilvl="0">
      <w:startOverride w:val="1"/>
    </w:lvlOverride>
  </w:num>
  <w:num w:numId="16">
    <w:abstractNumId w:val="19"/>
    <w:lvlOverride w:ilvl="0">
      <w:startOverride w:val="1"/>
    </w:lvlOverride>
  </w:num>
  <w:num w:numId="17">
    <w:abstractNumId w:val="19"/>
    <w:lvlOverride w:ilvl="0">
      <w:startOverride w:val="1"/>
    </w:lvlOverride>
  </w:num>
  <w:num w:numId="18">
    <w:abstractNumId w:val="19"/>
    <w:lvlOverride w:ilvl="0">
      <w:startOverride w:val="1"/>
    </w:lvlOverride>
  </w:num>
  <w:num w:numId="19">
    <w:abstractNumId w:val="23"/>
  </w:num>
  <w:num w:numId="20">
    <w:abstractNumId w:val="23"/>
    <w:lvlOverride w:ilvl="0">
      <w:startOverride w:val="1"/>
    </w:lvlOverride>
  </w:num>
  <w:num w:numId="21">
    <w:abstractNumId w:val="27"/>
  </w:num>
  <w:num w:numId="22">
    <w:abstractNumId w:val="24"/>
  </w:num>
  <w:num w:numId="23">
    <w:abstractNumId w:val="12"/>
    <w:lvlOverride w:ilvl="0">
      <w:startOverride w:val="1"/>
    </w:lvlOverride>
  </w:num>
  <w:num w:numId="24">
    <w:abstractNumId w:val="27"/>
    <w:lvlOverride w:ilvl="0">
      <w:startOverride w:val="1"/>
    </w:lvlOverride>
  </w:num>
  <w:num w:numId="25">
    <w:abstractNumId w:val="24"/>
    <w:lvlOverride w:ilvl="0">
      <w:startOverride w:val="1"/>
    </w:lvlOverride>
  </w:num>
  <w:num w:numId="26">
    <w:abstractNumId w:val="24"/>
    <w:lvlOverride w:ilvl="0">
      <w:startOverride w:val="1"/>
    </w:lvlOverride>
  </w:num>
  <w:num w:numId="27">
    <w:abstractNumId w:val="16"/>
  </w:num>
  <w:num w:numId="28">
    <w:abstractNumId w:val="22"/>
  </w:num>
  <w:num w:numId="29">
    <w:abstractNumId w:val="14"/>
  </w:num>
  <w:num w:numId="30">
    <w:abstractNumId w:val="18"/>
  </w:num>
  <w:num w:numId="31">
    <w:abstractNumId w:val="13"/>
  </w:num>
  <w:num w:numId="32">
    <w:abstractNumId w:val="27"/>
    <w:lvlOverride w:ilvl="0">
      <w:startOverride w:val="1"/>
    </w:lvlOverride>
  </w:num>
  <w:num w:numId="33">
    <w:abstractNumId w:val="27"/>
    <w:lvlOverride w:ilvl="0">
      <w:startOverride w:val="1"/>
    </w:lvlOverride>
  </w:num>
  <w:num w:numId="34">
    <w:abstractNumId w:val="27"/>
    <w:lvlOverride w:ilvl="0">
      <w:startOverride w:val="1"/>
    </w:lvlOverride>
  </w:num>
  <w:num w:numId="35">
    <w:abstractNumId w:val="20"/>
  </w:num>
  <w:num w:numId="36">
    <w:abstractNumId w:val="10"/>
  </w:num>
  <w:num w:numId="37">
    <w:abstractNumId w:val="17"/>
  </w:num>
  <w:num w:numId="38">
    <w:abstractNumId w:val="25"/>
  </w:num>
  <w:num w:numId="39">
    <w:abstractNumId w:val="21"/>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D8"/>
    <w:rsid w:val="00027038"/>
    <w:rsid w:val="0003154E"/>
    <w:rsid w:val="00037513"/>
    <w:rsid w:val="0006627F"/>
    <w:rsid w:val="00075C3D"/>
    <w:rsid w:val="000B3417"/>
    <w:rsid w:val="000C15D2"/>
    <w:rsid w:val="000D749D"/>
    <w:rsid w:val="00117A77"/>
    <w:rsid w:val="001578AC"/>
    <w:rsid w:val="00164FD2"/>
    <w:rsid w:val="001E3136"/>
    <w:rsid w:val="002160A7"/>
    <w:rsid w:val="00220DDA"/>
    <w:rsid w:val="00227DB5"/>
    <w:rsid w:val="002504C9"/>
    <w:rsid w:val="00266CCC"/>
    <w:rsid w:val="002738BF"/>
    <w:rsid w:val="00274D42"/>
    <w:rsid w:val="00285CAF"/>
    <w:rsid w:val="00296E73"/>
    <w:rsid w:val="002B661A"/>
    <w:rsid w:val="002C7A05"/>
    <w:rsid w:val="002D3BA6"/>
    <w:rsid w:val="002D6B3D"/>
    <w:rsid w:val="00303C55"/>
    <w:rsid w:val="00304D06"/>
    <w:rsid w:val="00311C2D"/>
    <w:rsid w:val="003500FD"/>
    <w:rsid w:val="00353E5E"/>
    <w:rsid w:val="00374D2A"/>
    <w:rsid w:val="00385BD5"/>
    <w:rsid w:val="003A0A50"/>
    <w:rsid w:val="003C7D2E"/>
    <w:rsid w:val="003D676D"/>
    <w:rsid w:val="003F23E9"/>
    <w:rsid w:val="003F2845"/>
    <w:rsid w:val="004009A3"/>
    <w:rsid w:val="00465A84"/>
    <w:rsid w:val="004B2C90"/>
    <w:rsid w:val="004E54DE"/>
    <w:rsid w:val="004F4C4F"/>
    <w:rsid w:val="005226B9"/>
    <w:rsid w:val="005452D6"/>
    <w:rsid w:val="00560B58"/>
    <w:rsid w:val="00591288"/>
    <w:rsid w:val="005917FD"/>
    <w:rsid w:val="005A4AA1"/>
    <w:rsid w:val="005B5E57"/>
    <w:rsid w:val="005D01FF"/>
    <w:rsid w:val="005D4706"/>
    <w:rsid w:val="005E6411"/>
    <w:rsid w:val="00621EA3"/>
    <w:rsid w:val="006332A5"/>
    <w:rsid w:val="0064343A"/>
    <w:rsid w:val="006A008F"/>
    <w:rsid w:val="006A09BD"/>
    <w:rsid w:val="006A5AA6"/>
    <w:rsid w:val="006D03E1"/>
    <w:rsid w:val="006E170D"/>
    <w:rsid w:val="007204A9"/>
    <w:rsid w:val="00756929"/>
    <w:rsid w:val="007579AA"/>
    <w:rsid w:val="00774646"/>
    <w:rsid w:val="00781695"/>
    <w:rsid w:val="007C0935"/>
    <w:rsid w:val="008046D4"/>
    <w:rsid w:val="00824286"/>
    <w:rsid w:val="00833792"/>
    <w:rsid w:val="008A0614"/>
    <w:rsid w:val="008C47A1"/>
    <w:rsid w:val="008D6B9E"/>
    <w:rsid w:val="008E1024"/>
    <w:rsid w:val="00913ED0"/>
    <w:rsid w:val="00927650"/>
    <w:rsid w:val="00931A22"/>
    <w:rsid w:val="0093507D"/>
    <w:rsid w:val="00942CB6"/>
    <w:rsid w:val="00942CE9"/>
    <w:rsid w:val="00950207"/>
    <w:rsid w:val="00954FF2"/>
    <w:rsid w:val="00962EE8"/>
    <w:rsid w:val="00976EE9"/>
    <w:rsid w:val="009A6D9C"/>
    <w:rsid w:val="009C2119"/>
    <w:rsid w:val="009C43CC"/>
    <w:rsid w:val="009C60F6"/>
    <w:rsid w:val="009F0889"/>
    <w:rsid w:val="00A04916"/>
    <w:rsid w:val="00A12C83"/>
    <w:rsid w:val="00AA3C02"/>
    <w:rsid w:val="00AA705F"/>
    <w:rsid w:val="00B6067A"/>
    <w:rsid w:val="00B6596F"/>
    <w:rsid w:val="00BA21AF"/>
    <w:rsid w:val="00BB7757"/>
    <w:rsid w:val="00BD57F5"/>
    <w:rsid w:val="00BD7C4F"/>
    <w:rsid w:val="00BE48A4"/>
    <w:rsid w:val="00BE56F0"/>
    <w:rsid w:val="00CA30E2"/>
    <w:rsid w:val="00CC2890"/>
    <w:rsid w:val="00D03799"/>
    <w:rsid w:val="00D10635"/>
    <w:rsid w:val="00D162D0"/>
    <w:rsid w:val="00D525B8"/>
    <w:rsid w:val="00DA1EA3"/>
    <w:rsid w:val="00DB31AD"/>
    <w:rsid w:val="00DB6515"/>
    <w:rsid w:val="00DE4203"/>
    <w:rsid w:val="00DE50DE"/>
    <w:rsid w:val="00DF2F8D"/>
    <w:rsid w:val="00E224F4"/>
    <w:rsid w:val="00E2753F"/>
    <w:rsid w:val="00E84F06"/>
    <w:rsid w:val="00E92551"/>
    <w:rsid w:val="00ED0697"/>
    <w:rsid w:val="00EF7B15"/>
    <w:rsid w:val="00F62D1C"/>
    <w:rsid w:val="00F957C6"/>
    <w:rsid w:val="00FB075C"/>
    <w:rsid w:val="00FB52D8"/>
    <w:rsid w:val="00FD2C22"/>
    <w:rsid w:val="00FE2C7F"/>
    <w:rsid w:val="00FF1EC9"/>
    <w:rsid w:val="00FF25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D23011"/>
  <w14:defaultImageDpi w14:val="330"/>
  <w15:chartTrackingRefBased/>
  <w15:docId w15:val="{389DA279-0C1F-4FC5-AACA-FE49CA80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35"/>
    <w:pPr>
      <w:spacing w:after="120"/>
    </w:pPr>
    <w:rPr>
      <w:sz w:val="22"/>
    </w:rPr>
  </w:style>
  <w:style w:type="paragraph" w:styleId="Heading1">
    <w:name w:val="heading 1"/>
    <w:basedOn w:val="Normal"/>
    <w:next w:val="Normal"/>
    <w:link w:val="Heading1Char"/>
    <w:uiPriority w:val="2"/>
    <w:qFormat/>
    <w:rsid w:val="00285CAF"/>
    <w:pPr>
      <w:keepNext/>
      <w:keepLines/>
      <w:spacing w:before="360" w:line="240" w:lineRule="auto"/>
      <w:outlineLvl w:val="0"/>
    </w:pPr>
    <w:rPr>
      <w:rFonts w:asciiTheme="majorHAnsi" w:eastAsiaTheme="majorEastAsia" w:hAnsiTheme="majorHAnsi" w:cstheme="majorBidi"/>
      <w:color w:val="1B375C" w:themeColor="accent1"/>
      <w:sz w:val="40"/>
      <w:szCs w:val="40"/>
    </w:rPr>
  </w:style>
  <w:style w:type="paragraph" w:styleId="Heading2">
    <w:name w:val="heading 2"/>
    <w:basedOn w:val="Normal"/>
    <w:next w:val="Normal"/>
    <w:link w:val="Heading2Char"/>
    <w:uiPriority w:val="2"/>
    <w:qFormat/>
    <w:rsid w:val="00117A77"/>
    <w:pPr>
      <w:keepNext/>
      <w:keepLines/>
      <w:spacing w:before="240" w:line="240" w:lineRule="auto"/>
      <w:outlineLvl w:val="1"/>
    </w:pPr>
    <w:rPr>
      <w:rFonts w:asciiTheme="majorHAnsi" w:eastAsiaTheme="majorEastAsia" w:hAnsiTheme="majorHAnsi" w:cstheme="majorBidi"/>
      <w:color w:val="1B375C" w:themeColor="accent1"/>
      <w:sz w:val="32"/>
      <w:szCs w:val="28"/>
    </w:rPr>
  </w:style>
  <w:style w:type="paragraph" w:styleId="Heading3">
    <w:name w:val="heading 3"/>
    <w:basedOn w:val="Heading4"/>
    <w:next w:val="Normal"/>
    <w:link w:val="Heading3Char"/>
    <w:uiPriority w:val="2"/>
    <w:qFormat/>
    <w:rsid w:val="00FE2C7F"/>
    <w:pPr>
      <w:outlineLvl w:val="2"/>
    </w:pPr>
    <w:rPr>
      <w:color w:val="1B375C" w:themeColor="accent1"/>
      <w:sz w:val="26"/>
    </w:rPr>
  </w:style>
  <w:style w:type="paragraph" w:styleId="Heading4">
    <w:name w:val="heading 4"/>
    <w:basedOn w:val="Normal"/>
    <w:next w:val="Normal"/>
    <w:link w:val="Heading4Char"/>
    <w:uiPriority w:val="2"/>
    <w:qFormat/>
    <w:rsid w:val="005B5E57"/>
    <w:pPr>
      <w:keepNext/>
      <w:keepLines/>
      <w:spacing w:before="240"/>
      <w:outlineLvl w:val="3"/>
    </w:pPr>
    <w:rPr>
      <w:rFonts w:asciiTheme="majorHAnsi" w:eastAsiaTheme="majorEastAsia" w:hAnsiTheme="majorHAnsi" w:cstheme="majorBidi"/>
      <w:color w:val="3266AB"/>
      <w:szCs w:val="22"/>
    </w:rPr>
  </w:style>
  <w:style w:type="paragraph" w:styleId="Heading5">
    <w:name w:val="heading 5"/>
    <w:basedOn w:val="Normal"/>
    <w:next w:val="Normal"/>
    <w:link w:val="Heading5Char"/>
    <w:uiPriority w:val="2"/>
    <w:unhideWhenUsed/>
    <w:rsid w:val="005B5E57"/>
    <w:pPr>
      <w:keepNext/>
      <w:keepLines/>
      <w:spacing w:before="240"/>
      <w:outlineLvl w:val="4"/>
    </w:pPr>
    <w:rPr>
      <w:rFonts w:asciiTheme="majorHAnsi" w:eastAsiaTheme="majorEastAsia" w:hAnsiTheme="majorHAnsi" w:cstheme="majorBidi"/>
      <w:i/>
      <w:iCs/>
      <w:color w:val="3266AB"/>
      <w:szCs w:val="22"/>
    </w:rPr>
  </w:style>
  <w:style w:type="paragraph" w:styleId="Heading6">
    <w:name w:val="heading 6"/>
    <w:basedOn w:val="Normal"/>
    <w:next w:val="Normal"/>
    <w:link w:val="Heading6Char"/>
    <w:uiPriority w:val="2"/>
    <w:unhideWhenUsed/>
    <w:rsid w:val="005B5E57"/>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5B5E57"/>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5B5E57"/>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5B5E57"/>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12C83"/>
    <w:rPr>
      <w:rFonts w:asciiTheme="majorHAnsi" w:eastAsiaTheme="majorEastAsia" w:hAnsiTheme="majorHAnsi" w:cstheme="majorBidi"/>
      <w:color w:val="1B375C" w:themeColor="accent1"/>
      <w:sz w:val="40"/>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A12C83"/>
    <w:rPr>
      <w:rFonts w:asciiTheme="majorHAnsi" w:eastAsiaTheme="majorEastAsia" w:hAnsiTheme="majorHAnsi" w:cstheme="majorBidi"/>
      <w:color w:val="1B375C" w:themeColor="accent1"/>
      <w:sz w:val="32"/>
      <w:szCs w:val="28"/>
    </w:rPr>
  </w:style>
  <w:style w:type="character" w:customStyle="1" w:styleId="Heading3Char">
    <w:name w:val="Heading 3 Char"/>
    <w:basedOn w:val="DefaultParagraphFont"/>
    <w:link w:val="Heading3"/>
    <w:uiPriority w:val="2"/>
    <w:rsid w:val="00A12C83"/>
    <w:rPr>
      <w:rFonts w:asciiTheme="majorHAnsi" w:eastAsiaTheme="majorEastAsia" w:hAnsiTheme="majorHAnsi" w:cstheme="majorBidi"/>
      <w:color w:val="1B375C" w:themeColor="accent1"/>
      <w:sz w:val="26"/>
      <w:szCs w:val="22"/>
    </w:rPr>
  </w:style>
  <w:style w:type="character" w:customStyle="1" w:styleId="Heading4Char">
    <w:name w:val="Heading 4 Char"/>
    <w:basedOn w:val="DefaultParagraphFont"/>
    <w:link w:val="Heading4"/>
    <w:uiPriority w:val="2"/>
    <w:rsid w:val="005B5E57"/>
    <w:rPr>
      <w:rFonts w:asciiTheme="majorHAnsi" w:eastAsiaTheme="majorEastAsia" w:hAnsiTheme="majorHAnsi" w:cstheme="majorBidi"/>
      <w:color w:val="3266AB"/>
      <w:sz w:val="22"/>
      <w:szCs w:val="22"/>
    </w:rPr>
  </w:style>
  <w:style w:type="character" w:customStyle="1" w:styleId="Heading5Char">
    <w:name w:val="Heading 5 Char"/>
    <w:basedOn w:val="DefaultParagraphFont"/>
    <w:link w:val="Heading5"/>
    <w:uiPriority w:val="2"/>
    <w:rsid w:val="005B5E57"/>
    <w:rPr>
      <w:rFonts w:asciiTheme="majorHAnsi" w:eastAsiaTheme="majorEastAsia" w:hAnsiTheme="majorHAnsi" w:cstheme="majorBidi"/>
      <w:i/>
      <w:iCs/>
      <w:color w:val="3266AB"/>
      <w:sz w:val="22"/>
      <w:szCs w:val="22"/>
    </w:rPr>
  </w:style>
  <w:style w:type="character" w:customStyle="1" w:styleId="Heading6Char">
    <w:name w:val="Heading 6 Char"/>
    <w:basedOn w:val="DefaultParagraphFont"/>
    <w:link w:val="Heading6"/>
    <w:uiPriority w:val="2"/>
    <w:rsid w:val="005B5E57"/>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5B5E57"/>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5B5E57"/>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5B5E57"/>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2D3BA6"/>
    <w:pPr>
      <w:numPr>
        <w:ilvl w:val="1"/>
      </w:numPr>
      <w:spacing w:after="480"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2D3BA6"/>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B5E57"/>
    <w:rPr>
      <w:i/>
      <w:iCs/>
      <w:color w:val="auto"/>
    </w:rPr>
  </w:style>
  <w:style w:type="paragraph" w:styleId="Quote">
    <w:name w:val="Quote"/>
    <w:basedOn w:val="Normal"/>
    <w:next w:val="Normal"/>
    <w:link w:val="QuoteChar"/>
    <w:uiPriority w:val="16"/>
    <w:qFormat/>
    <w:rsid w:val="005B5E57"/>
    <w:pPr>
      <w:spacing w:before="240"/>
      <w:ind w:left="720" w:right="720"/>
    </w:pPr>
    <w:rPr>
      <w:i/>
      <w:iCs/>
      <w:noProof/>
      <w:color w:val="3266AB"/>
    </w:rPr>
  </w:style>
  <w:style w:type="character" w:customStyle="1" w:styleId="QuoteChar">
    <w:name w:val="Quote Char"/>
    <w:basedOn w:val="DefaultParagraphFont"/>
    <w:link w:val="Quote"/>
    <w:uiPriority w:val="16"/>
    <w:rsid w:val="005B5E57"/>
    <w:rPr>
      <w:i/>
      <w:iCs/>
      <w:noProof/>
      <w:color w:val="3266AB"/>
      <w:sz w:val="22"/>
    </w:rPr>
  </w:style>
  <w:style w:type="paragraph" w:styleId="IntenseQuote">
    <w:name w:val="Intense Quote"/>
    <w:basedOn w:val="Normal"/>
    <w:next w:val="Normal"/>
    <w:link w:val="IntenseQuoteChar"/>
    <w:uiPriority w:val="17"/>
    <w:qFormat/>
    <w:rsid w:val="005B5E57"/>
    <w:pPr>
      <w:spacing w:before="120" w:line="264" w:lineRule="auto"/>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5B5E57"/>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5B5E57"/>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160A7"/>
    <w:pPr>
      <w:jc w:val="center"/>
    </w:pPr>
    <w:rPr>
      <w:rFonts w:ascii="Segoe UI" w:hAnsi="Segoe UI"/>
      <w:caps/>
      <w:color w:val="C00000"/>
      <w:sz w:val="18"/>
    </w:rPr>
  </w:style>
  <w:style w:type="paragraph" w:customStyle="1" w:styleId="BOXHeading2">
    <w:name w:val="BOX Heading 2"/>
    <w:basedOn w:val="Heading2"/>
    <w:next w:val="BOXText"/>
    <w:uiPriority w:val="6"/>
    <w:qFormat/>
    <w:rsid w:val="005B5E57"/>
    <w:pPr>
      <w:pBdr>
        <w:top w:val="single" w:sz="48" w:space="1" w:color="E0E8F2"/>
        <w:left w:val="single" w:sz="48" w:space="4" w:color="E0E8F2"/>
        <w:bottom w:val="single" w:sz="48" w:space="1" w:color="E0E8F2"/>
        <w:right w:val="single" w:sz="48" w:space="4" w:color="E0E8F2"/>
      </w:pBdr>
      <w:shd w:val="clear" w:color="auto" w:fill="E0E8F2"/>
      <w:ind w:left="227" w:right="227"/>
    </w:pPr>
    <w:rPr>
      <w:noProof/>
    </w:rPr>
  </w:style>
  <w:style w:type="character" w:customStyle="1" w:styleId="CLASSIFICATIONChar">
    <w:name w:val="CLASSIFICATION Char"/>
    <w:basedOn w:val="DefaultParagraphFont"/>
    <w:link w:val="CLASSIFICATION"/>
    <w:uiPriority w:val="99"/>
    <w:rsid w:val="002160A7"/>
    <w:rPr>
      <w:rFonts w:ascii="Segoe UI" w:hAnsi="Segoe UI"/>
      <w:caps/>
      <w:color w:val="C00000"/>
      <w:sz w:val="18"/>
    </w:rPr>
  </w:style>
  <w:style w:type="paragraph" w:customStyle="1" w:styleId="BOXText">
    <w:name w:val="BOX Text"/>
    <w:basedOn w:val="Normal"/>
    <w:uiPriority w:val="4"/>
    <w:qFormat/>
    <w:rsid w:val="005B5E57"/>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rPr>
      <w:noProof/>
    </w:rPr>
  </w:style>
  <w:style w:type="paragraph" w:customStyle="1" w:styleId="BOXBulletedList">
    <w:name w:val="BOX Bulleted List"/>
    <w:basedOn w:val="BOXText"/>
    <w:uiPriority w:val="5"/>
    <w:qFormat/>
    <w:rsid w:val="00FE2C7F"/>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customStyle="1" w:styleId="Figure">
    <w:name w:val="Figure"/>
    <w:basedOn w:val="Normal"/>
    <w:uiPriority w:val="2"/>
    <w:qFormat/>
    <w:rsid w:val="005B5E57"/>
    <w:pPr>
      <w:numPr>
        <w:numId w:val="27"/>
      </w:numPr>
      <w:spacing w:before="240"/>
    </w:pPr>
    <w:rPr>
      <w:rFonts w:ascii="Segoe UI" w:hAnsi="Segoe UI" w:cs="Segoe UI"/>
      <w:noProof/>
      <w:color w:val="3266AB"/>
    </w:rPr>
  </w:style>
  <w:style w:type="paragraph" w:customStyle="1" w:styleId="TBLHeading">
    <w:name w:val="TBL Heading"/>
    <w:basedOn w:val="Normal"/>
    <w:autoRedefine/>
    <w:uiPriority w:val="11"/>
    <w:qFormat/>
    <w:rsid w:val="006E170D"/>
    <w:pPr>
      <w:spacing w:line="240" w:lineRule="auto"/>
    </w:pPr>
    <w:rPr>
      <w:rFonts w:ascii="Segoe UI" w:hAnsi="Segoe UI" w:cs="Segoe UI"/>
      <w:noProof/>
      <w:color w:val="FFFFFF" w:themeColor="background1"/>
      <w:sz w:val="18"/>
    </w:rPr>
  </w:style>
  <w:style w:type="paragraph" w:customStyle="1" w:styleId="TBLText">
    <w:name w:val="TBL Text"/>
    <w:basedOn w:val="Normal"/>
    <w:uiPriority w:val="9"/>
    <w:qFormat/>
    <w:rsid w:val="006E170D"/>
    <w:pPr>
      <w:spacing w:line="240" w:lineRule="auto"/>
    </w:pPr>
    <w:rPr>
      <w:noProof/>
      <w:sz w:val="18"/>
      <w:szCs w:val="18"/>
    </w:rPr>
  </w:style>
  <w:style w:type="paragraph" w:customStyle="1" w:styleId="TBLBulletedList">
    <w:name w:val="TBL Bulleted List"/>
    <w:basedOn w:val="TBLText"/>
    <w:uiPriority w:val="10"/>
    <w:qFormat/>
    <w:rsid w:val="00374D2A"/>
    <w:pPr>
      <w:numPr>
        <w:numId w:val="12"/>
      </w:numPr>
      <w:ind w:left="357" w:hanging="357"/>
    </w:pPr>
  </w:style>
  <w:style w:type="paragraph" w:customStyle="1" w:styleId="TBLNumberedList">
    <w:name w:val="TBL Numbered List"/>
    <w:basedOn w:val="TBLText"/>
    <w:uiPriority w:val="10"/>
    <w:qFormat/>
    <w:rsid w:val="00374D2A"/>
    <w:pPr>
      <w:numPr>
        <w:numId w:val="13"/>
      </w:numPr>
      <w:ind w:left="357" w:hanging="357"/>
    </w:pPr>
  </w:style>
  <w:style w:type="paragraph" w:customStyle="1" w:styleId="BOXHeading3">
    <w:name w:val="BOX Heading 3"/>
    <w:basedOn w:val="BOXHeading2"/>
    <w:next w:val="BOXText"/>
    <w:uiPriority w:val="6"/>
    <w:qFormat/>
    <w:rsid w:val="00FE2C7F"/>
    <w:pPr>
      <w:outlineLvl w:val="2"/>
    </w:pPr>
    <w:rPr>
      <w:sz w:val="26"/>
      <w:szCs w:val="26"/>
    </w:rPr>
  </w:style>
  <w:style w:type="paragraph" w:styleId="ListParagraph">
    <w:name w:val="List Paragraph"/>
    <w:aliases w:val="List Square,List Paragraph1,List Paragraph11,List Paragraph2,Bulit List -  Paragraph,Main numbered paragraph,Numbered List Paragraph,Recommendation,Bullets,List Paragraph (numbered (a)),Table Heading,Dot pt,F5 List Paragraph,No Spacing1,L"/>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rsid w:val="00962EE8"/>
    <w:pPr>
      <w:numPr>
        <w:numId w:val="14"/>
      </w:numPr>
      <w:ind w:left="568" w:hanging="284"/>
    </w:pPr>
  </w:style>
  <w:style w:type="paragraph" w:customStyle="1" w:styleId="BulletedList-Level2">
    <w:name w:val="Bulleted List - Level 2"/>
    <w:basedOn w:val="BulletedList-Level1"/>
    <w:uiPriority w:val="1"/>
    <w:qFormat/>
    <w:rsid w:val="00962EE8"/>
    <w:pPr>
      <w:numPr>
        <w:numId w:val="30"/>
      </w:numPr>
    </w:pPr>
  </w:style>
  <w:style w:type="paragraph" w:customStyle="1" w:styleId="BulletedList-Level3">
    <w:name w:val="Bulleted List - Level 3"/>
    <w:basedOn w:val="ListParagraph"/>
    <w:uiPriority w:val="1"/>
    <w:qFormat/>
    <w:rsid w:val="00962EE8"/>
    <w:pPr>
      <w:numPr>
        <w:numId w:val="31"/>
      </w:numPr>
      <w:ind w:left="1135" w:hanging="284"/>
    </w:pPr>
  </w:style>
  <w:style w:type="paragraph" w:customStyle="1" w:styleId="NumberedList-Level1">
    <w:name w:val="Numbered List - Level 1"/>
    <w:basedOn w:val="ListParagraph"/>
    <w:uiPriority w:val="1"/>
    <w:qFormat/>
    <w:rsid w:val="00962EE8"/>
    <w:pPr>
      <w:numPr>
        <w:numId w:val="21"/>
      </w:numPr>
      <w:ind w:left="568" w:hanging="284"/>
    </w:pPr>
  </w:style>
  <w:style w:type="paragraph" w:customStyle="1" w:styleId="NumberedList-level2">
    <w:name w:val="Numbered List - level 2"/>
    <w:basedOn w:val="ListParagraph"/>
    <w:uiPriority w:val="1"/>
    <w:qFormat/>
    <w:rsid w:val="00962EE8"/>
    <w:pPr>
      <w:numPr>
        <w:ilvl w:val="1"/>
        <w:numId w:val="21"/>
      </w:numPr>
    </w:pPr>
  </w:style>
  <w:style w:type="paragraph" w:customStyle="1" w:styleId="NumberedList-Level3">
    <w:name w:val="Numbered List - Level 3"/>
    <w:basedOn w:val="ListParagraph"/>
    <w:uiPriority w:val="1"/>
    <w:qFormat/>
    <w:rsid w:val="00962EE8"/>
    <w:pPr>
      <w:numPr>
        <w:ilvl w:val="2"/>
        <w:numId w:val="21"/>
      </w:numPr>
    </w:pPr>
  </w:style>
  <w:style w:type="paragraph" w:customStyle="1" w:styleId="BoxDark-HeadingLevel1">
    <w:name w:val="Box Dark - Heading Level 1"/>
    <w:basedOn w:val="BOXHeading2"/>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5B5E57"/>
    <w:rPr>
      <w:color w:val="3266AB"/>
      <w:u w:val="single"/>
    </w:rPr>
  </w:style>
  <w:style w:type="paragraph" w:customStyle="1" w:styleId="BoxDark-HeadingLevel3">
    <w:name w:val="Box Dark - Heading Level 3"/>
    <w:basedOn w:val="BOXHeading3"/>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customStyle="1" w:styleId="BoxDark-Text">
    <w:name w:val="Box Dark - Text"/>
    <w:basedOn w:val="BOXText"/>
    <w:uiPriority w:val="7"/>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rPr>
  </w:style>
  <w:style w:type="paragraph" w:customStyle="1" w:styleId="BOXNumberedList">
    <w:name w:val="BOX Numbered List"/>
    <w:basedOn w:val="BOXText"/>
    <w:uiPriority w:val="5"/>
    <w:qFormat/>
    <w:rsid w:val="00FE2C7F"/>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ind w:left="584" w:hanging="357"/>
    </w:pPr>
  </w:style>
  <w:style w:type="character" w:styleId="CommentReference">
    <w:name w:val="annotation reference"/>
    <w:basedOn w:val="DefaultParagraphFont"/>
    <w:uiPriority w:val="99"/>
    <w:semiHidden/>
    <w:unhideWhenUsed/>
    <w:rsid w:val="00EF7B15"/>
    <w:rPr>
      <w:sz w:val="16"/>
      <w:szCs w:val="16"/>
    </w:rPr>
  </w:style>
  <w:style w:type="paragraph" w:styleId="CommentText">
    <w:name w:val="annotation text"/>
    <w:basedOn w:val="Normal"/>
    <w:link w:val="CommentTextChar"/>
    <w:uiPriority w:val="99"/>
    <w:unhideWhenUsed/>
    <w:rsid w:val="00EF7B15"/>
    <w:pPr>
      <w:spacing w:line="240" w:lineRule="auto"/>
    </w:pPr>
    <w:rPr>
      <w:sz w:val="20"/>
      <w:szCs w:val="20"/>
    </w:rPr>
  </w:style>
  <w:style w:type="character" w:customStyle="1" w:styleId="CommentTextChar">
    <w:name w:val="Comment Text Char"/>
    <w:basedOn w:val="DefaultParagraphFont"/>
    <w:link w:val="CommentText"/>
    <w:uiPriority w:val="99"/>
    <w:rsid w:val="00EF7B15"/>
    <w:rPr>
      <w:sz w:val="20"/>
      <w:szCs w:val="20"/>
    </w:rPr>
  </w:style>
  <w:style w:type="paragraph" w:styleId="FootnoteText">
    <w:name w:val="footnote text"/>
    <w:basedOn w:val="Normal"/>
    <w:link w:val="FootnoteTextChar"/>
    <w:uiPriority w:val="99"/>
    <w:unhideWhenUsed/>
    <w:rsid w:val="00EF7B1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F7B15"/>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EF7B15"/>
    <w:rPr>
      <w:vertAlign w:val="superscript"/>
    </w:rPr>
  </w:style>
  <w:style w:type="paragraph" w:styleId="BodyText3">
    <w:name w:val="Body Text 3"/>
    <w:basedOn w:val="Normal"/>
    <w:link w:val="BodyText3Char"/>
    <w:rsid w:val="006332A5"/>
    <w:pPr>
      <w:spacing w:line="240" w:lineRule="auto"/>
    </w:pPr>
    <w:rPr>
      <w:rFonts w:ascii="Times New Roman" w:eastAsia="Times New Roman" w:hAnsi="Times New Roman" w:cs="Times New Roman"/>
      <w:sz w:val="28"/>
      <w:szCs w:val="20"/>
    </w:rPr>
  </w:style>
  <w:style w:type="character" w:customStyle="1" w:styleId="BodyText3Char">
    <w:name w:val="Body Text 3 Char"/>
    <w:basedOn w:val="DefaultParagraphFont"/>
    <w:link w:val="BodyText3"/>
    <w:rsid w:val="006332A5"/>
    <w:rPr>
      <w:rFonts w:ascii="Times New Roman" w:eastAsia="Times New Roman" w:hAnsi="Times New Roman" w:cs="Times New Roman"/>
      <w:sz w:val="28"/>
      <w:szCs w:val="20"/>
    </w:rPr>
  </w:style>
  <w:style w:type="character" w:customStyle="1" w:styleId="ListParagraphChar">
    <w:name w:val="List Paragraph Char"/>
    <w:aliases w:val="List Square Char,List Paragraph1 Char,List Paragraph11 Char,List Paragraph2 Char,Bulit List -  Paragraph Char,Main numbered paragraph Char,Numbered List Paragraph Char,Recommendation Char,Bullets Char,Table Heading Char,Dot pt Char"/>
    <w:basedOn w:val="DefaultParagraphFont"/>
    <w:link w:val="ListParagraph"/>
    <w:uiPriority w:val="34"/>
    <w:qFormat/>
    <w:locked/>
    <w:rsid w:val="00304D06"/>
    <w:rPr>
      <w:sz w:val="22"/>
    </w:rPr>
  </w:style>
  <w:style w:type="character" w:customStyle="1" w:styleId="footnotedescriptionChar">
    <w:name w:val="footnote description Char"/>
    <w:link w:val="footnotedescription"/>
    <w:locked/>
    <w:rsid w:val="00304D06"/>
    <w:rPr>
      <w:rFonts w:ascii="Calibri" w:eastAsia="Calibri" w:hAnsi="Calibri" w:cs="Calibri"/>
      <w:color w:val="000000"/>
      <w:sz w:val="20"/>
      <w:lang w:eastAsia="en-AU"/>
    </w:rPr>
  </w:style>
  <w:style w:type="paragraph" w:customStyle="1" w:styleId="footnotedescription">
    <w:name w:val="footnote description"/>
    <w:next w:val="Normal"/>
    <w:link w:val="footnotedescriptionChar"/>
    <w:rsid w:val="00304D06"/>
    <w:pPr>
      <w:spacing w:after="0" w:line="256" w:lineRule="auto"/>
      <w:ind w:left="2"/>
    </w:pPr>
    <w:rPr>
      <w:rFonts w:ascii="Calibri" w:eastAsia="Calibri" w:hAnsi="Calibri" w:cs="Calibri"/>
      <w:color w:val="000000"/>
      <w:sz w:val="20"/>
      <w:lang w:eastAsia="en-AU"/>
    </w:rPr>
  </w:style>
  <w:style w:type="character" w:customStyle="1" w:styleId="footnotemark">
    <w:name w:val="footnote mark"/>
    <w:rsid w:val="00304D06"/>
    <w:rPr>
      <w:rFonts w:ascii="Calibri" w:eastAsia="Calibri" w:hAnsi="Calibri" w:cs="Calibri" w:hint="default"/>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497094">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213583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national-womens-health-strategy-2020-203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humanrights.gov.au/our-work/sex-discrimination/publications/respectwork-sexual-harassment-national-inquiry-report-2020" TargetMode="External"/><Relationship Id="rId17" Type="http://schemas.openxmlformats.org/officeDocument/2006/relationships/hyperlink" Target="mailto:OFWengagement@pmc.gov.au" TargetMode="External"/><Relationship Id="rId2" Type="http://schemas.openxmlformats.org/officeDocument/2006/relationships/customXml" Target="../customXml/item2.xml"/><Relationship Id="rId16" Type="http://schemas.openxmlformats.org/officeDocument/2006/relationships/hyperlink" Target="https://www.pmc.gov.au/office-women/national-strategy-achieve-gender-equalit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s.gov.au/women-programs-services-reducing-violence/the-national-plan-to-end-violence-against-women-and-children-2022-2032"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reasury.gov.au/employment-whitepaper/jobs-summit"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mc.gov.au/office-women/grants-and-funding/national-womens-alliance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huri.edu.au/research/final-reports/378" TargetMode="External"/><Relationship Id="rId3" Type="http://schemas.openxmlformats.org/officeDocument/2006/relationships/hyperlink" Target="https://www.gen-agedcaredata.gov.au/Topics/People-using-aged-care" TargetMode="External"/><Relationship Id="rId7" Type="http://schemas.openxmlformats.org/officeDocument/2006/relationships/hyperlink" Target="https://www.mdpi.com/1660-4601/18/20/10793" TargetMode="External"/><Relationship Id="rId2" Type="http://schemas.openxmlformats.org/officeDocument/2006/relationships/hyperlink" Target="https://www.aihw.gov.au/reports/older-people/older-australians/contents/housing-and-living-arrangements" TargetMode="External"/><Relationship Id="rId1" Type="http://schemas.openxmlformats.org/officeDocument/2006/relationships/hyperlink" Target="https://www.ato.gov.au/About-ATO/Research-and-statistics/In-detail/Taxation-statistics/Taxation-statistics-2019-20/?page=7" TargetMode="External"/><Relationship Id="rId6" Type="http://schemas.openxmlformats.org/officeDocument/2006/relationships/hyperlink" Target="https://humanrights.gov.au/our-work/disability-rights/publications/willing-work-national-inquiry-employment-discrimination" TargetMode="External"/><Relationship Id="rId5" Type="http://schemas.openxmlformats.org/officeDocument/2006/relationships/hyperlink" Target="https://humanrights.gov.au/our-work/disability-rights/publications/willing-work-national-inquiry-employment-discrimination" TargetMode="External"/><Relationship Id="rId4" Type="http://schemas.openxmlformats.org/officeDocument/2006/relationships/hyperlink" Target="https://www.health.gov.au/resources/publications/national-womens-health-strategy-2020-2030" TargetMode="External"/><Relationship Id="rId9" Type="http://schemas.openxmlformats.org/officeDocument/2006/relationships/hyperlink" Target="https://www.aiiw.org.au/wp-content/uploads/2022/10/AIIW-Per-Capita-Report-A-Home-of-Ones-Own-FINAL.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3877B5AEC84C26ABE300F48A833CD5"/>
        <w:category>
          <w:name w:val="General"/>
          <w:gallery w:val="placeholder"/>
        </w:category>
        <w:types>
          <w:type w:val="bbPlcHdr"/>
        </w:types>
        <w:behaviors>
          <w:behavior w:val="content"/>
        </w:behaviors>
        <w:guid w:val="{0B8B1F41-D7B7-49B4-B40D-0F6F851A6A70}"/>
      </w:docPartPr>
      <w:docPartBody>
        <w:p w:rsidR="00681692" w:rsidRDefault="00681692">
          <w:pPr>
            <w:pStyle w:val="EB3877B5AEC84C26ABE300F48A833CD5"/>
          </w:pPr>
          <w:r w:rsidRPr="00F13E41">
            <w:rPr>
              <w:rStyle w:val="PlaceholderText"/>
            </w:rPr>
            <w:t>[Title]</w:t>
          </w:r>
        </w:p>
      </w:docPartBody>
    </w:docPart>
    <w:docPart>
      <w:docPartPr>
        <w:name w:val="10D6513FF7D9482DBF35F8C750840C0A"/>
        <w:category>
          <w:name w:val="General"/>
          <w:gallery w:val="placeholder"/>
        </w:category>
        <w:types>
          <w:type w:val="bbPlcHdr"/>
        </w:types>
        <w:behaviors>
          <w:behavior w:val="content"/>
        </w:behaviors>
        <w:guid w:val="{1F7802A0-D091-4685-A848-12A4A095AA20}"/>
      </w:docPartPr>
      <w:docPartBody>
        <w:p w:rsidR="00681692" w:rsidRDefault="00681692">
          <w:pPr>
            <w:pStyle w:val="10D6513FF7D9482DBF35F8C750840C0A"/>
          </w:pPr>
          <w:r w:rsidRPr="00F13E41">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92"/>
    <w:rsid w:val="0033653F"/>
    <w:rsid w:val="005B30E5"/>
    <w:rsid w:val="00681692"/>
    <w:rsid w:val="00E41E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B3877B5AEC84C26ABE300F48A833CD5">
    <w:name w:val="EB3877B5AEC84C26ABE300F48A833CD5"/>
  </w:style>
  <w:style w:type="paragraph" w:customStyle="1" w:styleId="10D6513FF7D9482DBF35F8C750840C0A">
    <w:name w:val="10D6513FF7D9482DBF35F8C750840C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f2e3b8-678d-49cc-a09f-cfbaac9fe4ac">
      <Value>48</Value>
    </TaxCatchAll>
    <jd1c641577414dfdab1686c9d5d0dbd0 xmlns="c5f2e3b8-678d-49cc-a09f-cfbaac9fe4ac">
      <Terms xmlns="http://schemas.microsoft.com/office/infopath/2007/PartnerControls"/>
    </jd1c641577414dfdab1686c9d5d0dbd0>
    <PMCNotes xmlns="c5f2e3b8-678d-49cc-a09f-cfbaac9fe4ac" xsi:nil="true"/>
    <ShareHubID xmlns="c5f2e3b8-678d-49cc-a09f-cfbaac9fe4ac">DOC22-308079</ShareHubID>
    <mc5611b894cf49d8aeeb8ebf39dc09bc xmlns="c5f2e3b8-678d-49cc-a09f-cfbaac9fe4a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BA4C12DF371E8F4BB93A2BEA4DE4AEC1" ma:contentTypeVersion="7" ma:contentTypeDescription="ShareHub Document" ma:contentTypeScope="" ma:versionID="0fadfeb0e644ff012fc6c2d6ff120b19">
  <xsd:schema xmlns:xsd="http://www.w3.org/2001/XMLSchema" xmlns:xs="http://www.w3.org/2001/XMLSchema" xmlns:p="http://schemas.microsoft.com/office/2006/metadata/properties" xmlns:ns1="c5f2e3b8-678d-49cc-a09f-cfbaac9fe4ac" xmlns:ns3="685f9fda-bd71-4433-b331-92feb9553089" targetNamespace="http://schemas.microsoft.com/office/2006/metadata/properties" ma:root="true" ma:fieldsID="2431fab8f78af36a2fb430a4f555a2a6" ns1:_="" ns3:_="">
    <xsd:import namespace="c5f2e3b8-678d-49cc-a09f-cfbaac9fe4ac"/>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2e3b8-678d-49cc-a09f-cfbaac9fe4ac"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48;#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dec800d-e8ae-4e5b-bda9-de80f29b0884}" ma:internalName="TaxCatchAll" ma:showField="CatchAllData"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dec800d-e8ae-4e5b-bda9-de80f29b0884}" ma:internalName="TaxCatchAllLabel" ma:readOnly="true" ma:showField="CatchAllDataLabel"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38F1C-C245-4C33-9EF3-CF3F82FDDB51}">
  <ds:schemaRefs>
    <ds:schemaRef ds:uri="http://schemas.microsoft.com/sharepoint/v3/contenttype/forms"/>
  </ds:schemaRefs>
</ds:datastoreItem>
</file>

<file path=customXml/itemProps2.xml><?xml version="1.0" encoding="utf-8"?>
<ds:datastoreItem xmlns:ds="http://schemas.openxmlformats.org/officeDocument/2006/customXml" ds:itemID="{F8BAABE3-C765-4011-AAE3-8F8762E9568F}">
  <ds:schemaRefs>
    <ds:schemaRef ds:uri="http://schemas.microsoft.com/office/2006/metadata/properties"/>
    <ds:schemaRef ds:uri="http://schemas.microsoft.com/office/infopath/2007/PartnerControls"/>
    <ds:schemaRef ds:uri="c5f2e3b8-678d-49cc-a09f-cfbaac9fe4ac"/>
    <ds:schemaRef ds:uri="685f9fda-bd71-4433-b331-92feb9553089"/>
  </ds:schemaRefs>
</ds:datastoreItem>
</file>

<file path=customXml/itemProps3.xml><?xml version="1.0" encoding="utf-8"?>
<ds:datastoreItem xmlns:ds="http://schemas.openxmlformats.org/officeDocument/2006/customXml" ds:itemID="{3049A51F-95D4-44A1-A1FE-59CBCF318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2e3b8-678d-49cc-a09f-cfbaac9fe4ac"/>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1BF4AB-17D0-4F40-8359-984308C8E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Seniors</vt:lpstr>
    </vt:vector>
  </TitlesOfParts>
  <Manager>Office for Women</Manager>
  <Company>Department of the Prime Minister and Cabinet</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Seniors</dc:title>
  <dc:subject>Phase One Consultation: National Strategy to Achieve Gender Equality</dc:subject>
  <dc:creator>Department of the Prime Minister and Cabinet</dc:creator>
  <cp:keywords/>
  <dc:description/>
  <cp:lastModifiedBy>Darrell Hooper</cp:lastModifiedBy>
  <cp:revision>5</cp:revision>
  <dcterms:created xsi:type="dcterms:W3CDTF">2022-11-02T04:41:00Z</dcterms:created>
  <dcterms:modified xsi:type="dcterms:W3CDTF">2023-02-13T04:49:00Z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0x0101002825A64A6E1845A99A9D8EE8A5686ECB00BA4C12DF371E8F4BB93A2BEA4DE4AEC1</vt:lpwstr>
  </property>
  <property fmtid="{D5CDD505-2E9C-101B-9397-08002B2CF9AE}" pid="3" name="HPRMSecurityCaveat">
    <vt:lpwstr/>
  </property>
  <property fmtid="{D5CDD505-2E9C-101B-9397-08002B2CF9AE}" pid="4" name="HPRMSecurityLevel">
    <vt:lpwstr>48;#OFFICIAL|11463c70-78df-4e3b-b0ff-f66cd3cb26ec</vt:lpwstr>
  </property>
</Properties>
</file>